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350010B7" w:rsidR="00353377" w:rsidRPr="003F0E2E" w:rsidRDefault="00CA01B4" w:rsidP="003F0E2E">
      <w:pPr>
        <w:pStyle w:val="Heading1"/>
      </w:pPr>
      <w:bookmarkStart w:id="0" w:name="_Toc12350797"/>
      <w:bookmarkStart w:id="1" w:name="_Toc12437018"/>
      <w:bookmarkStart w:id="2" w:name="_Toc12437231"/>
      <w:bookmarkStart w:id="3" w:name="_Toc12438427"/>
      <w:bookmarkStart w:id="4" w:name="_Toc12606603"/>
      <w:r w:rsidRPr="006B4D2A">
        <w:t>SW 701: Social Policy: Critical Frameworks</w:t>
      </w:r>
      <w:bookmarkEnd w:id="0"/>
      <w:bookmarkEnd w:id="1"/>
      <w:bookmarkEnd w:id="2"/>
      <w:bookmarkEnd w:id="3"/>
      <w:bookmarkEnd w:id="4"/>
    </w:p>
    <w:p w14:paraId="36B0D715" w14:textId="17AD00FD" w:rsidR="00E740EA" w:rsidRPr="002958FE" w:rsidRDefault="00CA01B4" w:rsidP="003F0E2E">
      <w:pPr>
        <w:pStyle w:val="ListParagraph"/>
        <w:numPr>
          <w:ilvl w:val="0"/>
          <w:numId w:val="22"/>
        </w:numPr>
        <w:rPr>
          <w:rFonts w:cs="Arial"/>
          <w:b/>
          <w:szCs w:val="24"/>
        </w:rPr>
      </w:pPr>
      <w:bookmarkStart w:id="5" w:name="_Toc12437020"/>
      <w:r>
        <w:rPr>
          <w:rFonts w:cs="Arial"/>
          <w:b/>
          <w:szCs w:val="24"/>
        </w:rPr>
        <w:t>Wednesdays January 12 to April 6, 202</w:t>
      </w:r>
      <w:r w:rsidR="00C3253D">
        <w:rPr>
          <w:rFonts w:cs="Arial"/>
          <w:b/>
          <w:szCs w:val="24"/>
        </w:rPr>
        <w:t>2</w:t>
      </w:r>
      <w:r>
        <w:rPr>
          <w:rFonts w:cs="Arial"/>
          <w:b/>
          <w:szCs w:val="24"/>
        </w:rPr>
        <w:t>,</w:t>
      </w:r>
      <w:r w:rsidR="000D7A37" w:rsidRPr="002958FE">
        <w:rPr>
          <w:rFonts w:cs="Arial"/>
          <w:b/>
          <w:szCs w:val="24"/>
        </w:rPr>
        <w:t xml:space="preserve"> </w:t>
      </w:r>
      <w:r>
        <w:rPr>
          <w:rFonts w:cs="Arial"/>
          <w:b/>
          <w:szCs w:val="24"/>
        </w:rPr>
        <w:t xml:space="preserve">11:30-2:30 </w:t>
      </w:r>
      <w:bookmarkEnd w:id="5"/>
    </w:p>
    <w:p w14:paraId="3938208A" w14:textId="4C5A3CD4" w:rsidR="00E740EA" w:rsidRPr="002958FE" w:rsidRDefault="00CA01B4" w:rsidP="003F0E2E">
      <w:pPr>
        <w:pStyle w:val="ListParagraph"/>
        <w:numPr>
          <w:ilvl w:val="0"/>
          <w:numId w:val="22"/>
        </w:numPr>
        <w:rPr>
          <w:rFonts w:cs="Arial"/>
          <w:b/>
          <w:szCs w:val="24"/>
        </w:rPr>
      </w:pPr>
      <w:bookmarkStart w:id="6" w:name="_Toc12437021"/>
      <w:r>
        <w:rPr>
          <w:rFonts w:cs="Arial"/>
          <w:b/>
          <w:szCs w:val="24"/>
        </w:rPr>
        <w:t>Stephanie Baker Collins</w:t>
      </w:r>
      <w:bookmarkEnd w:id="6"/>
    </w:p>
    <w:p w14:paraId="394514CA" w14:textId="4D40B615" w:rsidR="00E740EA" w:rsidRPr="002958FE" w:rsidRDefault="00856F68" w:rsidP="003F0E2E">
      <w:pPr>
        <w:pStyle w:val="ListParagraph"/>
        <w:numPr>
          <w:ilvl w:val="0"/>
          <w:numId w:val="22"/>
        </w:numPr>
        <w:rPr>
          <w:rFonts w:cs="Arial"/>
          <w:b/>
          <w:szCs w:val="24"/>
        </w:rPr>
      </w:pPr>
      <w:bookmarkStart w:id="7" w:name="_Toc12437022"/>
      <w:r w:rsidRPr="002958FE">
        <w:rPr>
          <w:rFonts w:cs="Arial"/>
          <w:b/>
          <w:szCs w:val="24"/>
        </w:rPr>
        <w:t xml:space="preserve">Office: KTH- </w:t>
      </w:r>
      <w:r w:rsidR="00CA01B4">
        <w:rPr>
          <w:rFonts w:cs="Arial"/>
          <w:b/>
          <w:szCs w:val="24"/>
        </w:rPr>
        <w:t>324</w:t>
      </w:r>
      <w:bookmarkEnd w:id="7"/>
      <w:r w:rsidR="00353377" w:rsidRPr="002958FE">
        <w:rPr>
          <w:rFonts w:cs="Arial"/>
          <w:b/>
          <w:szCs w:val="24"/>
        </w:rPr>
        <w:t xml:space="preserve"> </w:t>
      </w:r>
    </w:p>
    <w:p w14:paraId="2A3B6E3D" w14:textId="6C5F3EFF" w:rsidR="00E740EA" w:rsidRPr="002958FE" w:rsidRDefault="005C0205" w:rsidP="003F0E2E">
      <w:pPr>
        <w:pStyle w:val="ListParagraph"/>
        <w:numPr>
          <w:ilvl w:val="0"/>
          <w:numId w:val="22"/>
        </w:numPr>
        <w:rPr>
          <w:rFonts w:cs="Arial"/>
          <w:b/>
          <w:szCs w:val="24"/>
        </w:rPr>
      </w:pPr>
      <w:bookmarkStart w:id="8" w:name="_Toc12437023"/>
      <w:r w:rsidRPr="002958FE">
        <w:rPr>
          <w:rFonts w:cs="Arial"/>
          <w:b/>
          <w:szCs w:val="24"/>
        </w:rPr>
        <w:t xml:space="preserve">Office hours: </w:t>
      </w:r>
      <w:r w:rsidR="00CA01B4">
        <w:rPr>
          <w:rFonts w:cs="Arial"/>
          <w:b/>
          <w:szCs w:val="24"/>
        </w:rPr>
        <w:t>by appointment</w:t>
      </w:r>
      <w:bookmarkEnd w:id="8"/>
    </w:p>
    <w:p w14:paraId="4500E05E" w14:textId="07575718" w:rsidR="00353377" w:rsidRPr="002958FE" w:rsidRDefault="003F60FC" w:rsidP="003F0E2E">
      <w:pPr>
        <w:pStyle w:val="ListParagraph"/>
        <w:numPr>
          <w:ilvl w:val="0"/>
          <w:numId w:val="22"/>
        </w:numPr>
        <w:rPr>
          <w:rFonts w:cs="Arial"/>
          <w:b/>
          <w:szCs w:val="24"/>
        </w:rPr>
      </w:pPr>
      <w:bookmarkStart w:id="9" w:name="_Toc12437024"/>
      <w:r w:rsidRPr="002958FE">
        <w:rPr>
          <w:rFonts w:cs="Arial"/>
          <w:b/>
          <w:szCs w:val="24"/>
        </w:rPr>
        <w:t>Email:</w:t>
      </w:r>
      <w:r w:rsidR="00856F68" w:rsidRPr="002958FE">
        <w:rPr>
          <w:rFonts w:cs="Arial"/>
          <w:b/>
          <w:szCs w:val="24"/>
        </w:rPr>
        <w:t xml:space="preserve"> </w:t>
      </w:r>
      <w:r w:rsidR="00CA01B4">
        <w:rPr>
          <w:rFonts w:cs="Arial"/>
          <w:b/>
          <w:szCs w:val="24"/>
        </w:rPr>
        <w:t>sbcollins@mcmaster.ca</w:t>
      </w:r>
      <w:bookmarkEnd w:id="9"/>
      <w:r w:rsidR="00353377" w:rsidRPr="002958FE">
        <w:rPr>
          <w:rFonts w:cs="Arial"/>
          <w:b/>
          <w:szCs w:val="24"/>
        </w:rPr>
        <w:tab/>
      </w:r>
    </w:p>
    <w:p w14:paraId="4DAC578E" w14:textId="5CFF9816" w:rsidR="006C03C8" w:rsidRDefault="006F4CDE" w:rsidP="003F0E2E">
      <w:pPr>
        <w:pStyle w:val="Heading1"/>
        <w:rPr>
          <w:noProof/>
        </w:rPr>
      </w:pPr>
      <w:bookmarkStart w:id="10" w:name="_Toc12350798"/>
      <w:bookmarkStart w:id="11" w:name="_Toc12438428"/>
      <w:bookmarkStart w:id="12" w:name="_Toc12606604"/>
      <w:bookmarkStart w:id="13" w:name="_Toc12437232"/>
      <w:r w:rsidRPr="000A6633">
        <w:t>Table of Contents</w:t>
      </w:r>
      <w:r w:rsidRPr="000A6633">
        <w:rPr>
          <w:lang w:val="en-GB"/>
        </w:rPr>
        <w:t xml:space="preserve"> </w:t>
      </w:r>
      <w:bookmarkStart w:id="14" w:name="_Toc12350799"/>
      <w:bookmarkEnd w:id="10"/>
      <w:bookmarkEnd w:id="11"/>
      <w:bookmarkEnd w:id="12"/>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67A7C185" w14:textId="251A9BDC" w:rsidR="006C03C8" w:rsidRPr="006C03C8" w:rsidRDefault="000E431E">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67823">
          <w:rPr>
            <w:rFonts w:ascii="Arial" w:hAnsi="Arial" w:cs="Arial"/>
            <w:b/>
            <w:noProof/>
            <w:webHidden/>
          </w:rPr>
          <w:t>1</w:t>
        </w:r>
        <w:r w:rsidR="006C03C8" w:rsidRPr="006C03C8">
          <w:rPr>
            <w:rFonts w:ascii="Arial" w:hAnsi="Arial" w:cs="Arial"/>
            <w:b/>
            <w:noProof/>
            <w:webHidden/>
          </w:rPr>
          <w:fldChar w:fldCharType="end"/>
        </w:r>
      </w:hyperlink>
    </w:p>
    <w:p w14:paraId="29B7EA7A" w14:textId="25BD0D4E" w:rsidR="006C03C8" w:rsidRPr="006C03C8" w:rsidRDefault="000E431E">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67823">
          <w:rPr>
            <w:rFonts w:ascii="Arial" w:hAnsi="Arial" w:cs="Arial"/>
            <w:b/>
            <w:noProof/>
            <w:webHidden/>
          </w:rPr>
          <w:t>2</w:t>
        </w:r>
        <w:r w:rsidR="006C03C8" w:rsidRPr="006C03C8">
          <w:rPr>
            <w:rFonts w:ascii="Arial" w:hAnsi="Arial" w:cs="Arial"/>
            <w:b/>
            <w:noProof/>
            <w:webHidden/>
          </w:rPr>
          <w:fldChar w:fldCharType="end"/>
        </w:r>
      </w:hyperlink>
    </w:p>
    <w:p w14:paraId="0FAB1806" w14:textId="7A9140C9" w:rsidR="006C03C8" w:rsidRPr="006C03C8" w:rsidRDefault="000E431E">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67823">
          <w:rPr>
            <w:rFonts w:ascii="Arial" w:hAnsi="Arial" w:cs="Arial"/>
            <w:b/>
            <w:noProof/>
            <w:webHidden/>
          </w:rPr>
          <w:t>3</w:t>
        </w:r>
        <w:r w:rsidR="006C03C8" w:rsidRPr="006C03C8">
          <w:rPr>
            <w:rFonts w:ascii="Arial" w:hAnsi="Arial" w:cs="Arial"/>
            <w:b/>
            <w:noProof/>
            <w:webHidden/>
          </w:rPr>
          <w:fldChar w:fldCharType="end"/>
        </w:r>
      </w:hyperlink>
    </w:p>
    <w:p w14:paraId="31C55F85" w14:textId="02689950" w:rsidR="006C03C8" w:rsidRPr="006C03C8" w:rsidRDefault="000E431E">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67823">
          <w:rPr>
            <w:rFonts w:ascii="Arial" w:hAnsi="Arial" w:cs="Arial"/>
            <w:b/>
            <w:noProof/>
            <w:webHidden/>
          </w:rPr>
          <w:t>5</w:t>
        </w:r>
        <w:r w:rsidR="006C03C8" w:rsidRPr="006C03C8">
          <w:rPr>
            <w:rFonts w:ascii="Arial" w:hAnsi="Arial" w:cs="Arial"/>
            <w:b/>
            <w:noProof/>
            <w:webHidden/>
          </w:rPr>
          <w:fldChar w:fldCharType="end"/>
        </w:r>
      </w:hyperlink>
    </w:p>
    <w:p w14:paraId="7BEE33C6" w14:textId="189FAD40" w:rsidR="006C03C8" w:rsidRPr="006C03C8" w:rsidRDefault="000E431E">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067823">
          <w:rPr>
            <w:rFonts w:ascii="Arial" w:hAnsi="Arial" w:cs="Arial"/>
            <w:b/>
            <w:noProof/>
            <w:webHidden/>
          </w:rPr>
          <w:t>7</w:t>
        </w:r>
        <w:r w:rsidR="006C03C8" w:rsidRPr="006C03C8">
          <w:rPr>
            <w:rFonts w:ascii="Arial" w:hAnsi="Arial" w:cs="Arial"/>
            <w:b/>
            <w:noProof/>
            <w:webHidden/>
          </w:rPr>
          <w:fldChar w:fldCharType="end"/>
        </w:r>
      </w:hyperlink>
    </w:p>
    <w:p w14:paraId="7C45378D" w14:textId="77777777" w:rsidR="00B87E74" w:rsidRPr="000A6633" w:rsidRDefault="004B7060" w:rsidP="003F0E2E">
      <w:pPr>
        <w:pStyle w:val="Heading1"/>
      </w:pPr>
      <w:r w:rsidRPr="002958FE">
        <w:rPr>
          <w:rFonts w:eastAsia="Times New Roman" w:cs="Arial"/>
          <w:color w:val="auto"/>
          <w:sz w:val="24"/>
          <w:szCs w:val="24"/>
        </w:rPr>
        <w:fldChar w:fldCharType="end"/>
      </w:r>
      <w:bookmarkStart w:id="15" w:name="_Toc12606605"/>
      <w:r w:rsidR="00B87E74" w:rsidRPr="000A6633">
        <w:t>Course Overview</w:t>
      </w:r>
      <w:bookmarkEnd w:id="13"/>
      <w:bookmarkEnd w:id="14"/>
      <w:bookmarkEnd w:id="15"/>
    </w:p>
    <w:p w14:paraId="0671098C" w14:textId="77777777" w:rsidR="007F0D43" w:rsidRPr="000A6633" w:rsidRDefault="003F60FC" w:rsidP="008C1257">
      <w:pPr>
        <w:pStyle w:val="Heading2"/>
      </w:pPr>
      <w:bookmarkStart w:id="16" w:name="_Toc12350800"/>
      <w:r w:rsidRPr="000A6633">
        <w:t>Course Description:</w:t>
      </w:r>
      <w:bookmarkEnd w:id="16"/>
    </w:p>
    <w:p w14:paraId="7CE75050" w14:textId="7AB66AF8" w:rsidR="00092F08" w:rsidRPr="000A6633" w:rsidRDefault="00092F08" w:rsidP="00092F08">
      <w:pPr>
        <w:rPr>
          <w:b/>
        </w:rPr>
      </w:pPr>
      <w:r w:rsidRPr="006B4D2A">
        <w:t xml:space="preserve">In modern welfare states social policy is integral to the mechanism and process of pursuing equity and social justice for individuals, families, </w:t>
      </w:r>
      <w:proofErr w:type="gramStart"/>
      <w:r w:rsidRPr="006B4D2A">
        <w:t>communities</w:t>
      </w:r>
      <w:proofErr w:type="gramEnd"/>
      <w:r w:rsidRPr="006B4D2A">
        <w:t xml:space="preserve"> and society as a whole. Situating social policy in the contexts of history, politics, and ongoing globalization processes, this course explores key concepts, issues, and theories concerning social welfare and social policy making in and beyond Canada; the intersection of welfare restructuring and changing socio-economic conditions</w:t>
      </w:r>
      <w:r w:rsidR="00130D3B">
        <w:t>;</w:t>
      </w:r>
      <w:r w:rsidRPr="006B4D2A">
        <w:t xml:space="preserve"> and the connections between social policy and social work practices. Identifying the uneven policy effects on different social groups, it seeks a critical understanding of the issues of poverty, inequity, and social exclusion from a social policy perspective.  In discussing the challenges and possibilities regarding the future of social welfare, the roles of various actors of policy making, including the state, citizens, and civil society, as well as social workers, in pursuing social justice and human rights in both the local and global contexts are also discussed.</w:t>
      </w:r>
    </w:p>
    <w:p w14:paraId="2AB592A1" w14:textId="43B52DFB" w:rsidR="00092F08" w:rsidRPr="000A6633" w:rsidRDefault="009C48C6" w:rsidP="00092F08">
      <w:pPr>
        <w:pStyle w:val="Heading2"/>
      </w:pPr>
      <w:bookmarkStart w:id="17" w:name="_Toc12350801"/>
      <w:r w:rsidRPr="000A6633">
        <w:t>Course Objectiv</w:t>
      </w:r>
      <w:bookmarkEnd w:id="17"/>
      <w:r w:rsidR="002C0C5B">
        <w:t>es</w:t>
      </w:r>
    </w:p>
    <w:p w14:paraId="12C6F785" w14:textId="7ADD4AE6" w:rsidR="00092F08" w:rsidRDefault="00092F08" w:rsidP="00092F08">
      <w:pPr>
        <w:pStyle w:val="ListParagraph"/>
        <w:numPr>
          <w:ilvl w:val="0"/>
          <w:numId w:val="2"/>
        </w:numPr>
        <w:rPr>
          <w:rFonts w:eastAsia="Times New Roman"/>
          <w:szCs w:val="20"/>
          <w:lang w:val="en-US"/>
        </w:rPr>
      </w:pPr>
      <w:r w:rsidRPr="006B4D2A">
        <w:rPr>
          <w:rFonts w:eastAsia="Times New Roman"/>
          <w:szCs w:val="20"/>
          <w:lang w:val="en-US"/>
        </w:rPr>
        <w:t>To understand the dynamics of social policy making and various perspectives underpinning the policy making process</w:t>
      </w:r>
    </w:p>
    <w:p w14:paraId="6EA09259" w14:textId="77777777" w:rsidR="00092F08" w:rsidRPr="00092F08" w:rsidRDefault="00092F08" w:rsidP="00A722C2">
      <w:pPr>
        <w:pStyle w:val="ListParagraph"/>
        <w:numPr>
          <w:ilvl w:val="0"/>
          <w:numId w:val="2"/>
        </w:numPr>
        <w:tabs>
          <w:tab w:val="left" w:pos="720"/>
        </w:tabs>
        <w:rPr>
          <w:rFonts w:cs="Arial"/>
          <w:szCs w:val="24"/>
        </w:rPr>
      </w:pPr>
      <w:r w:rsidRPr="00092F08">
        <w:rPr>
          <w:rFonts w:eastAsia="Times New Roman"/>
          <w:szCs w:val="20"/>
          <w:lang w:val="en-US"/>
        </w:rPr>
        <w:lastRenderedPageBreak/>
        <w:t xml:space="preserve">To examine social policy issues arising out of globalization and restructuring through the lens of policy arenas such as income, </w:t>
      </w:r>
      <w:proofErr w:type="gramStart"/>
      <w:r w:rsidRPr="00092F08">
        <w:rPr>
          <w:rFonts w:eastAsia="Times New Roman"/>
          <w:szCs w:val="20"/>
          <w:lang w:val="en-US"/>
        </w:rPr>
        <w:t>housing</w:t>
      </w:r>
      <w:proofErr w:type="gramEnd"/>
      <w:r w:rsidRPr="00092F08">
        <w:rPr>
          <w:rFonts w:eastAsia="Times New Roman"/>
          <w:szCs w:val="20"/>
          <w:lang w:val="en-US"/>
        </w:rPr>
        <w:t xml:space="preserve"> and child </w:t>
      </w:r>
      <w:r w:rsidRPr="00092F08">
        <w:rPr>
          <w:rFonts w:eastAsia="Times New Roman" w:cs="Arial"/>
          <w:szCs w:val="24"/>
          <w:lang w:val="en-US"/>
        </w:rPr>
        <w:t>welfare.</w:t>
      </w:r>
    </w:p>
    <w:p w14:paraId="23E62BDB" w14:textId="68CCC6E8" w:rsidR="00092F08" w:rsidRPr="00092F08" w:rsidRDefault="00092F08" w:rsidP="00A722C2">
      <w:pPr>
        <w:pStyle w:val="ListParagraph"/>
        <w:numPr>
          <w:ilvl w:val="0"/>
          <w:numId w:val="2"/>
        </w:numPr>
        <w:tabs>
          <w:tab w:val="left" w:pos="720"/>
        </w:tabs>
        <w:rPr>
          <w:rFonts w:cs="Arial"/>
          <w:szCs w:val="24"/>
        </w:rPr>
      </w:pPr>
      <w:r w:rsidRPr="00092F08">
        <w:rPr>
          <w:rFonts w:cs="Arial"/>
          <w:szCs w:val="24"/>
        </w:rPr>
        <w:t>To identify</w:t>
      </w:r>
      <w:r w:rsidRPr="00092F08">
        <w:rPr>
          <w:rFonts w:eastAsiaTheme="minorHAnsi" w:cs="Arial"/>
          <w:szCs w:val="24"/>
        </w:rPr>
        <w:t xml:space="preserve"> the uneven policy effects on </w:t>
      </w:r>
      <w:r w:rsidR="005E3782">
        <w:rPr>
          <w:rFonts w:eastAsiaTheme="minorHAnsi" w:cs="Arial"/>
          <w:szCs w:val="24"/>
        </w:rPr>
        <w:t>marginalized groups (as exacerbated by Covid-19)</w:t>
      </w:r>
      <w:r w:rsidRPr="00092F08">
        <w:rPr>
          <w:rFonts w:eastAsiaTheme="minorHAnsi" w:cs="Arial"/>
          <w:szCs w:val="24"/>
        </w:rPr>
        <w:t xml:space="preserve"> and seek a critical understanding of the issues of poverty, inequity, oppression, and social exclusion from a social policy perspective</w:t>
      </w:r>
    </w:p>
    <w:p w14:paraId="37EC3B86" w14:textId="1CBB0F21" w:rsidR="00092F08" w:rsidRPr="006B4D2A" w:rsidRDefault="00092F08" w:rsidP="00092F08">
      <w:pPr>
        <w:pStyle w:val="ListParagraph"/>
        <w:numPr>
          <w:ilvl w:val="0"/>
          <w:numId w:val="2"/>
        </w:numPr>
        <w:rPr>
          <w:rFonts w:eastAsia="Times New Roman"/>
          <w:szCs w:val="20"/>
          <w:lang w:val="en-US"/>
        </w:rPr>
      </w:pPr>
      <w:r w:rsidRPr="00092F08">
        <w:rPr>
          <w:rFonts w:eastAsia="Times New Roman" w:cs="Arial"/>
          <w:szCs w:val="24"/>
          <w:lang w:val="en-US"/>
        </w:rPr>
        <w:t xml:space="preserve">To appreciate the connections among social issues, social policy, </w:t>
      </w:r>
      <w:r w:rsidR="005E3782">
        <w:rPr>
          <w:rFonts w:eastAsia="Times New Roman" w:cs="Arial"/>
          <w:szCs w:val="24"/>
          <w:lang w:val="en-US"/>
        </w:rPr>
        <w:t>policy effects a</w:t>
      </w:r>
      <w:r w:rsidRPr="00092F08">
        <w:rPr>
          <w:rFonts w:eastAsia="Times New Roman" w:cs="Arial"/>
          <w:szCs w:val="24"/>
          <w:lang w:val="en-US"/>
        </w:rPr>
        <w:t>nd social</w:t>
      </w:r>
      <w:r w:rsidRPr="006B4D2A">
        <w:rPr>
          <w:rFonts w:eastAsia="Times New Roman"/>
          <w:szCs w:val="20"/>
          <w:lang w:val="en-US"/>
        </w:rPr>
        <w:t xml:space="preserve"> work practices</w:t>
      </w:r>
    </w:p>
    <w:p w14:paraId="2EA286EC" w14:textId="02065B3F" w:rsidR="00092F08" w:rsidRPr="004B7060" w:rsidRDefault="00092F08" w:rsidP="00092F08">
      <w:pPr>
        <w:pStyle w:val="ListParagraph"/>
        <w:numPr>
          <w:ilvl w:val="0"/>
          <w:numId w:val="2"/>
        </w:numPr>
        <w:spacing w:after="240"/>
        <w:ind w:left="714" w:hanging="357"/>
        <w:rPr>
          <w:rFonts w:cs="Calibri"/>
          <w:b/>
          <w:szCs w:val="24"/>
        </w:rPr>
      </w:pPr>
      <w:r w:rsidRPr="006B4D2A">
        <w:rPr>
          <w:rFonts w:eastAsia="Times New Roman"/>
          <w:szCs w:val="20"/>
          <w:lang w:val="en-US"/>
        </w:rPr>
        <w:t>To explore the strategies of social policy responses in changing contexts</w:t>
      </w:r>
    </w:p>
    <w:p w14:paraId="2C1EC9B4" w14:textId="4F403131" w:rsidR="00092F08" w:rsidRDefault="00092F08" w:rsidP="00092F08">
      <w:r w:rsidRPr="000A6633">
        <w:t xml:space="preserve">The basic assumptions of this course concur with the broader curriculum context set by the </w:t>
      </w:r>
      <w:r w:rsidRPr="000A6633">
        <w:rPr>
          <w:b/>
          <w:bCs/>
        </w:rPr>
        <w:t>School of Social Work's Statement of Philosophy</w:t>
      </w:r>
      <w:r w:rsidRPr="000A6633">
        <w:t>:</w:t>
      </w:r>
    </w:p>
    <w:p w14:paraId="6CABF439" w14:textId="77777777" w:rsidR="005E3782" w:rsidRPr="000A6633" w:rsidRDefault="005E3782" w:rsidP="00092F08"/>
    <w:p w14:paraId="342CBA2F" w14:textId="77777777" w:rsidR="00092F08" w:rsidRPr="002958FE" w:rsidRDefault="00092F08" w:rsidP="00092F08">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0A6633" w:rsidRDefault="00B87E74" w:rsidP="008C1257">
      <w:pPr>
        <w:pStyle w:val="Heading2"/>
      </w:pPr>
      <w:bookmarkStart w:id="18" w:name="_Toc12350802"/>
      <w:r w:rsidRPr="000A6633">
        <w:t>Course Format</w:t>
      </w:r>
      <w:bookmarkEnd w:id="18"/>
    </w:p>
    <w:p w14:paraId="7F5AD3D9" w14:textId="1B0E2893" w:rsidR="00B87E74" w:rsidRPr="000A6633" w:rsidRDefault="00B87E74" w:rsidP="002958FE">
      <w:pPr>
        <w:rPr>
          <w:b/>
        </w:rPr>
      </w:pPr>
      <w:r w:rsidRPr="000A6633">
        <w:t xml:space="preserve">Information will be presented through lectures, </w:t>
      </w:r>
      <w:proofErr w:type="gramStart"/>
      <w:r w:rsidR="00082FE4">
        <w:t>presentations</w:t>
      </w:r>
      <w:proofErr w:type="gramEnd"/>
      <w:r w:rsidR="00082FE4">
        <w:t xml:space="preserve"> and </w:t>
      </w:r>
      <w:r w:rsidRPr="000A6633">
        <w:t xml:space="preserve">discussion. </w:t>
      </w:r>
    </w:p>
    <w:p w14:paraId="5A7E2AD6" w14:textId="7A311979" w:rsidR="00D93C31" w:rsidRPr="004B7060" w:rsidRDefault="00082FE4" w:rsidP="002958FE">
      <w:pPr>
        <w:rPr>
          <w:b/>
        </w:rPr>
      </w:pPr>
      <w:r>
        <w:t xml:space="preserve">Two thirds of the class will be in-person and one third will be </w:t>
      </w:r>
      <w:r w:rsidR="002C0C5B">
        <w:t xml:space="preserve">virtual </w:t>
      </w:r>
      <w:r>
        <w:t xml:space="preserve">via Zoom.  </w:t>
      </w:r>
      <w:r w:rsidR="00B87E74" w:rsidRPr="000A6633">
        <w:t xml:space="preserve"> </w:t>
      </w:r>
    </w:p>
    <w:p w14:paraId="353E2916" w14:textId="77777777" w:rsidR="00B87E74" w:rsidRPr="000A6633" w:rsidRDefault="00B87E74" w:rsidP="008C1257">
      <w:pPr>
        <w:pStyle w:val="Heading2"/>
      </w:pPr>
      <w:bookmarkStart w:id="19" w:name="_Toc12350803"/>
      <w:r w:rsidRPr="000A6633">
        <w:t>Required Texts:</w:t>
      </w:r>
      <w:bookmarkEnd w:id="19"/>
      <w:r w:rsidRPr="000A6633">
        <w:t xml:space="preserve">  </w:t>
      </w:r>
    </w:p>
    <w:p w14:paraId="64024D6C" w14:textId="77777777" w:rsidR="00082FE4" w:rsidRDefault="00082FE4" w:rsidP="00082FE4">
      <w:pPr>
        <w:pStyle w:val="ListParagraph"/>
        <w:numPr>
          <w:ilvl w:val="0"/>
          <w:numId w:val="23"/>
        </w:numPr>
      </w:pPr>
      <w:r>
        <w:t>Online readings available through the McMaster University Library Database and via A2L.</w:t>
      </w:r>
    </w:p>
    <w:p w14:paraId="70AA7849" w14:textId="77777777" w:rsidR="00082FE4" w:rsidRPr="002958FE" w:rsidRDefault="00082FE4" w:rsidP="00082FE4">
      <w:pPr>
        <w:pStyle w:val="ListParagraph"/>
        <w:numPr>
          <w:ilvl w:val="0"/>
          <w:numId w:val="23"/>
        </w:numPr>
        <w:rPr>
          <w:b/>
        </w:rPr>
      </w:pPr>
      <w:r>
        <w:t>Additional readings are provided online via Avenue to Learn.</w:t>
      </w:r>
    </w:p>
    <w:p w14:paraId="757A8287" w14:textId="77777777" w:rsidR="00B87E74" w:rsidRPr="000A6633" w:rsidRDefault="00B87E74" w:rsidP="003F0E2E">
      <w:pPr>
        <w:pStyle w:val="Heading1"/>
      </w:pPr>
      <w:bookmarkStart w:id="20" w:name="_Toc12350805"/>
      <w:bookmarkStart w:id="21" w:name="_Toc12606606"/>
      <w:r w:rsidRPr="000A6633">
        <w:t>Course Requirements</w:t>
      </w:r>
      <w:r w:rsidR="001F3D7B" w:rsidRPr="000A6633">
        <w:t>/Assignments</w:t>
      </w:r>
      <w:bookmarkEnd w:id="20"/>
      <w:bookmarkEnd w:id="21"/>
    </w:p>
    <w:p w14:paraId="77EE5E3D" w14:textId="77777777" w:rsidR="00B87E74" w:rsidRPr="000A6633" w:rsidRDefault="001C4731" w:rsidP="008C1257">
      <w:pPr>
        <w:pStyle w:val="Heading2"/>
      </w:pPr>
      <w:bookmarkStart w:id="22" w:name="_Toc12350806"/>
      <w:r w:rsidRPr="000A6633">
        <w:t>Requirements</w:t>
      </w:r>
      <w:r w:rsidR="00B87E74" w:rsidRPr="000A6633">
        <w:t xml:space="preserve"> Overview and Deadlines</w:t>
      </w:r>
      <w:bookmarkEnd w:id="22"/>
    </w:p>
    <w:p w14:paraId="25F283BF" w14:textId="3E57D3EE" w:rsidR="00B87E74" w:rsidRPr="000A6633" w:rsidRDefault="00B87E74" w:rsidP="00082FE4"/>
    <w:p w14:paraId="73FAF2A0" w14:textId="77777777" w:rsidR="00230FFB" w:rsidRPr="00230FFB" w:rsidRDefault="00230FFB" w:rsidP="00230FFB">
      <w:pPr>
        <w:pStyle w:val="ListParagraph"/>
        <w:numPr>
          <w:ilvl w:val="0"/>
          <w:numId w:val="40"/>
        </w:numPr>
        <w:autoSpaceDE w:val="0"/>
        <w:autoSpaceDN w:val="0"/>
        <w:adjustRightInd w:val="0"/>
        <w:spacing w:after="240" w:line="240" w:lineRule="auto"/>
        <w:rPr>
          <w:rFonts w:cstheme="minorHAnsi"/>
        </w:rPr>
      </w:pPr>
      <w:r w:rsidRPr="00230FFB">
        <w:rPr>
          <w:rFonts w:cstheme="minorHAnsi"/>
        </w:rPr>
        <w:t>Participation (10%)</w:t>
      </w:r>
    </w:p>
    <w:p w14:paraId="6A8FBBBA" w14:textId="5C631448" w:rsidR="002C0C5B" w:rsidRPr="002C0C5B" w:rsidRDefault="00230FFB" w:rsidP="002C0C5B">
      <w:pPr>
        <w:pStyle w:val="ListParagraph"/>
        <w:autoSpaceDE w:val="0"/>
        <w:autoSpaceDN w:val="0"/>
        <w:adjustRightInd w:val="0"/>
        <w:rPr>
          <w:rFonts w:cstheme="minorHAnsi"/>
          <w:u w:val="single"/>
          <w:lang w:val="en-US"/>
        </w:rPr>
      </w:pPr>
      <w:r w:rsidRPr="00082FE4">
        <w:rPr>
          <w:rFonts w:cstheme="minorHAnsi"/>
        </w:rPr>
        <w:t xml:space="preserve">Students’ attendance and participation are </w:t>
      </w:r>
      <w:r w:rsidR="00CF2E66">
        <w:rPr>
          <w:rFonts w:cstheme="minorHAnsi"/>
        </w:rPr>
        <w:t xml:space="preserve">essential </w:t>
      </w:r>
      <w:r w:rsidRPr="00082FE4">
        <w:rPr>
          <w:rFonts w:cstheme="minorHAnsi"/>
        </w:rPr>
        <w:t>for this course. Students are expected to come to class on time, complete the required readings, and take an active part in the discussion.</w:t>
      </w:r>
    </w:p>
    <w:p w14:paraId="5F532719" w14:textId="77777777" w:rsidR="00CF2E66" w:rsidRPr="00082FE4" w:rsidRDefault="00CF2E66" w:rsidP="00CF2E66">
      <w:pPr>
        <w:pStyle w:val="ListParagraph"/>
        <w:autoSpaceDE w:val="0"/>
        <w:autoSpaceDN w:val="0"/>
        <w:adjustRightInd w:val="0"/>
        <w:rPr>
          <w:rFonts w:cstheme="minorHAnsi"/>
          <w:u w:val="single"/>
          <w:lang w:val="en-US"/>
        </w:rPr>
      </w:pPr>
    </w:p>
    <w:p w14:paraId="00391C86" w14:textId="12D28576" w:rsidR="001C4731" w:rsidRPr="00CF2E66" w:rsidRDefault="00230FFB" w:rsidP="00230FFB">
      <w:pPr>
        <w:pStyle w:val="ListParagraph"/>
        <w:numPr>
          <w:ilvl w:val="0"/>
          <w:numId w:val="27"/>
        </w:numPr>
        <w:rPr>
          <w:b/>
          <w:lang w:val="en-GB"/>
        </w:rPr>
      </w:pPr>
      <w:r w:rsidRPr="0086480F">
        <w:rPr>
          <w:b/>
          <w:bCs/>
          <w:lang w:val="en-GB"/>
        </w:rPr>
        <w:t>Policy Brief</w:t>
      </w:r>
      <w:r>
        <w:rPr>
          <w:lang w:val="en-GB"/>
        </w:rPr>
        <w:t xml:space="preserve"> (35%) </w:t>
      </w:r>
      <w:r w:rsidR="00A644FF">
        <w:rPr>
          <w:lang w:val="en-GB"/>
        </w:rPr>
        <w:t xml:space="preserve">due February </w:t>
      </w:r>
      <w:r w:rsidR="00AB5AB5">
        <w:rPr>
          <w:lang w:val="en-GB"/>
        </w:rPr>
        <w:t>16</w:t>
      </w:r>
      <w:r w:rsidR="00A644FF">
        <w:rPr>
          <w:lang w:val="en-GB"/>
        </w:rPr>
        <w:t xml:space="preserve"> </w:t>
      </w:r>
      <w:r>
        <w:rPr>
          <w:lang w:val="en-GB"/>
        </w:rPr>
        <w:t xml:space="preserve">and </w:t>
      </w:r>
      <w:r w:rsidRPr="0086480F">
        <w:rPr>
          <w:b/>
          <w:bCs/>
          <w:lang w:val="en-GB"/>
        </w:rPr>
        <w:t>Presentation</w:t>
      </w:r>
      <w:r>
        <w:rPr>
          <w:lang w:val="en-GB"/>
        </w:rPr>
        <w:t xml:space="preserve"> (10%)</w:t>
      </w:r>
      <w:r w:rsidR="00A644FF">
        <w:rPr>
          <w:lang w:val="en-GB"/>
        </w:rPr>
        <w:t xml:space="preserve"> March </w:t>
      </w:r>
      <w:r w:rsidR="006F467B">
        <w:rPr>
          <w:lang w:val="en-GB"/>
        </w:rPr>
        <w:t>9</w:t>
      </w:r>
    </w:p>
    <w:p w14:paraId="2166AFC6" w14:textId="77777777" w:rsidR="00CF2E66" w:rsidRPr="002958FE" w:rsidRDefault="00CF2E66" w:rsidP="00CF2E66">
      <w:pPr>
        <w:pStyle w:val="ListParagraph"/>
        <w:rPr>
          <w:b/>
          <w:lang w:val="en-GB"/>
        </w:rPr>
      </w:pPr>
    </w:p>
    <w:p w14:paraId="34AF012D" w14:textId="1D6E6255" w:rsidR="000D1C94" w:rsidRDefault="00230FFB" w:rsidP="000D1C94">
      <w:pPr>
        <w:pStyle w:val="ListParagraph"/>
        <w:numPr>
          <w:ilvl w:val="0"/>
          <w:numId w:val="41"/>
        </w:numPr>
      </w:pPr>
      <w:r w:rsidRPr="000D1C94">
        <w:rPr>
          <w:lang w:val="en-GB"/>
        </w:rPr>
        <w:lastRenderedPageBreak/>
        <w:t xml:space="preserve">Students will work in groups of 2-3 to compile a concise policy brief which </w:t>
      </w:r>
      <w:r w:rsidR="000D1C94" w:rsidRPr="000D1C94">
        <w:rPr>
          <w:lang w:val="en-GB"/>
        </w:rPr>
        <w:t xml:space="preserve">highlights a current existing social policy issue that has been exacerbated by Covid-19 or a new social policy issue created by Covid-19.  The policy brief </w:t>
      </w:r>
      <w:r w:rsidR="00082FE4">
        <w:rPr>
          <w:lang w:val="en-GB"/>
        </w:rPr>
        <w:t xml:space="preserve">will </w:t>
      </w:r>
      <w:r w:rsidR="000D1C94">
        <w:t xml:space="preserve">include background on the issue, evidence of the pressing nature of the issue, information about </w:t>
      </w:r>
      <w:r w:rsidR="00082FE4">
        <w:t>in</w:t>
      </w:r>
      <w:r w:rsidR="000D1C94">
        <w:t xml:space="preserve">equities that need addressing, and </w:t>
      </w:r>
      <w:r w:rsidR="00082FE4">
        <w:t xml:space="preserve">recommendations for policy responses.  The policy brief will be </w:t>
      </w:r>
      <w:r w:rsidR="000D1C94">
        <w:t>4-</w:t>
      </w:r>
      <w:r w:rsidR="00CF2E66">
        <w:t>6</w:t>
      </w:r>
      <w:r w:rsidR="000D1C94">
        <w:t xml:space="preserve"> pages</w:t>
      </w:r>
      <w:r w:rsidR="00082FE4">
        <w:t xml:space="preserve"> in length including graphs, tables, and references. </w:t>
      </w:r>
    </w:p>
    <w:p w14:paraId="56083C8C" w14:textId="5C7EA3E1" w:rsidR="0086480F" w:rsidRDefault="000D1C94" w:rsidP="000D1C94">
      <w:pPr>
        <w:pStyle w:val="ListParagraph"/>
        <w:numPr>
          <w:ilvl w:val="0"/>
          <w:numId w:val="41"/>
        </w:numPr>
      </w:pPr>
      <w:r>
        <w:t xml:space="preserve">Each group will also give a short presentation on their policy brief in class including a 4-6 slide </w:t>
      </w:r>
      <w:proofErr w:type="spellStart"/>
      <w:r w:rsidR="00082FE4">
        <w:t>Powerpoint</w:t>
      </w:r>
      <w:proofErr w:type="spellEnd"/>
      <w:r w:rsidR="00082FE4">
        <w:t xml:space="preserve"> Presentation summarizing the main points of the brief and an indication of </w:t>
      </w:r>
      <w:r w:rsidR="0086480F">
        <w:t xml:space="preserve">appropriate recipients of the brief and </w:t>
      </w:r>
      <w:r w:rsidR="00CF2E66">
        <w:t xml:space="preserve">recommended </w:t>
      </w:r>
      <w:r w:rsidR="0086480F">
        <w:t xml:space="preserve">advocacy efforts.  </w:t>
      </w:r>
    </w:p>
    <w:p w14:paraId="6197837A" w14:textId="140FCC51" w:rsidR="000D1C94" w:rsidRDefault="0086480F" w:rsidP="000D1C94">
      <w:pPr>
        <w:pStyle w:val="ListParagraph"/>
        <w:numPr>
          <w:ilvl w:val="0"/>
          <w:numId w:val="41"/>
        </w:numPr>
      </w:pPr>
      <w:r>
        <w:t>A more detailed description of this assignment will be available on Avenue to Learn.</w:t>
      </w:r>
      <w:r w:rsidR="00082FE4">
        <w:t xml:space="preserve"> </w:t>
      </w:r>
    </w:p>
    <w:p w14:paraId="3D1DF7EC" w14:textId="77777777" w:rsidR="00CF2E66" w:rsidRDefault="00CF2E66" w:rsidP="00CF2E66">
      <w:pPr>
        <w:pStyle w:val="ListParagraph"/>
      </w:pPr>
    </w:p>
    <w:p w14:paraId="0EE3416E" w14:textId="14209361" w:rsidR="0086480F" w:rsidRPr="0086480F" w:rsidRDefault="0086480F" w:rsidP="00CF2E66">
      <w:pPr>
        <w:pStyle w:val="ListParagraph"/>
        <w:numPr>
          <w:ilvl w:val="0"/>
          <w:numId w:val="27"/>
        </w:numPr>
        <w:spacing w:after="0"/>
        <w:contextualSpacing w:val="0"/>
        <w:rPr>
          <w:lang w:val="en-GB"/>
        </w:rPr>
      </w:pPr>
      <w:r w:rsidRPr="0086480F">
        <w:rPr>
          <w:b/>
          <w:bCs/>
          <w:lang w:val="en-GB"/>
        </w:rPr>
        <w:t>Final Paper</w:t>
      </w:r>
      <w:r w:rsidRPr="0086480F">
        <w:rPr>
          <w:lang w:val="en-GB"/>
        </w:rPr>
        <w:t xml:space="preserve">: Policy Analysis - Thesis or Project Topic </w:t>
      </w:r>
      <w:r w:rsidR="006F467B">
        <w:rPr>
          <w:lang w:val="en-GB"/>
        </w:rPr>
        <w:t>(45</w:t>
      </w:r>
      <w:proofErr w:type="gramStart"/>
      <w:r w:rsidR="006F467B">
        <w:rPr>
          <w:lang w:val="en-GB"/>
        </w:rPr>
        <w:t>%)  Due</w:t>
      </w:r>
      <w:proofErr w:type="gramEnd"/>
      <w:r w:rsidR="006F467B">
        <w:rPr>
          <w:lang w:val="en-GB"/>
        </w:rPr>
        <w:t xml:space="preserve"> April 13</w:t>
      </w:r>
    </w:p>
    <w:p w14:paraId="4964F077" w14:textId="77777777" w:rsidR="0086480F" w:rsidRPr="00DC4E3A" w:rsidRDefault="0086480F" w:rsidP="00013B6C">
      <w:pPr>
        <w:pStyle w:val="ListParagraph"/>
        <w:numPr>
          <w:ilvl w:val="1"/>
          <w:numId w:val="27"/>
        </w:numPr>
        <w:spacing w:after="0"/>
        <w:contextualSpacing w:val="0"/>
        <w:rPr>
          <w:lang w:val="en-GB"/>
        </w:rPr>
      </w:pPr>
      <w:r w:rsidRPr="00DC4E3A">
        <w:rPr>
          <w:lang w:val="en-GB"/>
        </w:rPr>
        <w:t xml:space="preserve">Students will: </w:t>
      </w:r>
    </w:p>
    <w:p w14:paraId="4069E763" w14:textId="77777777" w:rsidR="0086480F" w:rsidRPr="00DC4E3A" w:rsidRDefault="0086480F" w:rsidP="0086480F">
      <w:pPr>
        <w:pStyle w:val="ListParagraph"/>
        <w:numPr>
          <w:ilvl w:val="2"/>
          <w:numId w:val="27"/>
        </w:numPr>
        <w:rPr>
          <w:lang w:val="en-GB"/>
        </w:rPr>
      </w:pPr>
      <w:r w:rsidRPr="00DC4E3A">
        <w:rPr>
          <w:lang w:val="en-GB"/>
        </w:rPr>
        <w:t>complete a scholarly paper presenting an analysis of a policy[</w:t>
      </w:r>
      <w:proofErr w:type="spellStart"/>
      <w:r w:rsidRPr="00DC4E3A">
        <w:rPr>
          <w:lang w:val="en-GB"/>
        </w:rPr>
        <w:t>ies</w:t>
      </w:r>
      <w:proofErr w:type="spellEnd"/>
      <w:r w:rsidRPr="00DC4E3A">
        <w:rPr>
          <w:lang w:val="en-GB"/>
        </w:rPr>
        <w:t>] relevant to your MSW CA thesis topic or MSW CL placement project</w:t>
      </w:r>
    </w:p>
    <w:p w14:paraId="39DE98DB" w14:textId="1BA104E8" w:rsidR="0086480F" w:rsidRPr="00DC4E3A" w:rsidRDefault="0086480F" w:rsidP="0086480F">
      <w:pPr>
        <w:pStyle w:val="ListParagraph"/>
        <w:numPr>
          <w:ilvl w:val="2"/>
          <w:numId w:val="27"/>
        </w:numPr>
        <w:rPr>
          <w:lang w:val="en-GB"/>
        </w:rPr>
      </w:pPr>
      <w:r w:rsidRPr="00DC4E3A">
        <w:rPr>
          <w:lang w:val="en-GB"/>
        </w:rPr>
        <w:t xml:space="preserve">include a minimum of </w:t>
      </w:r>
      <w:r>
        <w:rPr>
          <w:lang w:val="en-GB"/>
        </w:rPr>
        <w:t>8</w:t>
      </w:r>
      <w:r w:rsidRPr="00DC4E3A">
        <w:rPr>
          <w:lang w:val="en-GB"/>
        </w:rPr>
        <w:t xml:space="preserve"> scholarly sources in their paper  </w:t>
      </w:r>
    </w:p>
    <w:p w14:paraId="2B9AE5DF" w14:textId="77777777" w:rsidR="0086480F" w:rsidRPr="00DC4E3A" w:rsidRDefault="0086480F" w:rsidP="0086480F">
      <w:pPr>
        <w:pStyle w:val="ListParagraph"/>
        <w:numPr>
          <w:ilvl w:val="2"/>
          <w:numId w:val="27"/>
        </w:numPr>
        <w:rPr>
          <w:lang w:val="en-GB"/>
        </w:rPr>
      </w:pPr>
      <w:r w:rsidRPr="00DC4E3A">
        <w:rPr>
          <w:lang w:val="en-GB"/>
        </w:rPr>
        <w:t xml:space="preserve">use a minimum of 2 scholarly articles/chapters (more if relevant) from the course to support their analysis </w:t>
      </w:r>
    </w:p>
    <w:p w14:paraId="70716D75" w14:textId="77777777" w:rsidR="0086480F" w:rsidRPr="00DC4E3A" w:rsidRDefault="0086480F" w:rsidP="0086480F">
      <w:pPr>
        <w:pStyle w:val="ListParagraph"/>
        <w:numPr>
          <w:ilvl w:val="2"/>
          <w:numId w:val="27"/>
        </w:numPr>
        <w:rPr>
          <w:lang w:val="en-GB"/>
        </w:rPr>
      </w:pPr>
      <w:r w:rsidRPr="00DC4E3A">
        <w:rPr>
          <w:lang w:val="en-GB"/>
        </w:rPr>
        <w:t xml:space="preserve">undertake library research to access necessary policy materials and policy analysis related publications.  </w:t>
      </w:r>
    </w:p>
    <w:p w14:paraId="4A810C5A" w14:textId="466CE098" w:rsidR="0086480F" w:rsidRDefault="0086480F" w:rsidP="0086480F">
      <w:pPr>
        <w:pStyle w:val="ListParagraph"/>
        <w:numPr>
          <w:ilvl w:val="2"/>
          <w:numId w:val="27"/>
        </w:numPr>
        <w:spacing w:after="240"/>
        <w:contextualSpacing w:val="0"/>
        <w:rPr>
          <w:lang w:val="en-GB"/>
        </w:rPr>
      </w:pPr>
      <w:r w:rsidRPr="00DC4E3A">
        <w:rPr>
          <w:lang w:val="en-GB"/>
        </w:rPr>
        <w:t>You may include popular materials (</w:t>
      </w:r>
      <w:proofErr w:type="gramStart"/>
      <w:r w:rsidRPr="00DC4E3A">
        <w:rPr>
          <w:lang w:val="en-GB"/>
        </w:rPr>
        <w:t>e.g.</w:t>
      </w:r>
      <w:proofErr w:type="gramEnd"/>
      <w:r w:rsidRPr="00DC4E3A">
        <w:rPr>
          <w:lang w:val="en-GB"/>
        </w:rPr>
        <w:t xml:space="preserve"> newspaper article, magazine article, podcast) to further support your work.  </w:t>
      </w:r>
    </w:p>
    <w:p w14:paraId="59F0F584" w14:textId="4EFA9C9E" w:rsidR="00013B6C" w:rsidRPr="00013B6C" w:rsidRDefault="00013B6C" w:rsidP="00013B6C">
      <w:pPr>
        <w:pStyle w:val="ListParagraph"/>
        <w:numPr>
          <w:ilvl w:val="1"/>
          <w:numId w:val="27"/>
        </w:numPr>
        <w:spacing w:after="240"/>
        <w:contextualSpacing w:val="0"/>
        <w:rPr>
          <w:lang w:val="en-GB"/>
        </w:rPr>
      </w:pPr>
      <w:r w:rsidRPr="002520A9">
        <w:rPr>
          <w:b/>
          <w:bCs/>
          <w:lang w:val="en-GB"/>
        </w:rPr>
        <w:t>Length</w:t>
      </w:r>
      <w:r w:rsidRPr="00DC4E3A">
        <w:rPr>
          <w:lang w:val="en-GB"/>
        </w:rPr>
        <w:t>: 1</w:t>
      </w:r>
      <w:r>
        <w:rPr>
          <w:lang w:val="en-GB"/>
        </w:rPr>
        <w:t>4</w:t>
      </w:r>
      <w:r w:rsidRPr="00DC4E3A">
        <w:rPr>
          <w:lang w:val="en-GB"/>
        </w:rPr>
        <w:t>-15 pages (approximately 4000-5000 words in APA format)</w:t>
      </w:r>
    </w:p>
    <w:p w14:paraId="53C3B36F" w14:textId="77777777" w:rsidR="0086480F" w:rsidRPr="002520A9" w:rsidRDefault="0086480F" w:rsidP="0086480F">
      <w:pPr>
        <w:pStyle w:val="ListParagraph"/>
        <w:numPr>
          <w:ilvl w:val="1"/>
          <w:numId w:val="27"/>
        </w:numPr>
        <w:rPr>
          <w:b/>
          <w:bCs/>
          <w:lang w:val="en-GB"/>
        </w:rPr>
      </w:pPr>
      <w:r w:rsidRPr="002520A9">
        <w:rPr>
          <w:b/>
          <w:bCs/>
          <w:lang w:val="en-GB"/>
        </w:rPr>
        <w:t>Additional details are available online via Avenue to Learn.</w:t>
      </w:r>
    </w:p>
    <w:p w14:paraId="7F3A23F0" w14:textId="77777777" w:rsidR="00230FFB" w:rsidRPr="002958FE" w:rsidRDefault="00230FFB" w:rsidP="00230FFB">
      <w:pPr>
        <w:pStyle w:val="ListParagraph"/>
        <w:ind w:left="1440"/>
        <w:rPr>
          <w:b/>
          <w:lang w:val="en-GB"/>
        </w:rPr>
      </w:pPr>
    </w:p>
    <w:p w14:paraId="2250611F" w14:textId="77777777" w:rsidR="001F3D7B" w:rsidRPr="000A6633" w:rsidRDefault="001F3D7B" w:rsidP="003F0E2E">
      <w:pPr>
        <w:pStyle w:val="Heading1"/>
        <w:rPr>
          <w:lang w:val="en-GB"/>
        </w:rPr>
      </w:pPr>
      <w:bookmarkStart w:id="23" w:name="_Toc12350808"/>
      <w:bookmarkStart w:id="24" w:name="_Toc12606607"/>
      <w:r w:rsidRPr="000A6633">
        <w:rPr>
          <w:lang w:val="en-GB"/>
        </w:rPr>
        <w:t>Assignment Submission and Grading</w:t>
      </w:r>
      <w:bookmarkEnd w:id="23"/>
      <w:bookmarkEnd w:id="24"/>
    </w:p>
    <w:p w14:paraId="00AA9D16" w14:textId="77777777" w:rsidR="001F3D7B" w:rsidRPr="000A6633" w:rsidRDefault="001F3D7B" w:rsidP="008C1257">
      <w:pPr>
        <w:pStyle w:val="Heading2"/>
      </w:pPr>
      <w:bookmarkStart w:id="25" w:name="_Toc12350809"/>
      <w:r w:rsidRPr="000A6633">
        <w:t>Form and Style</w:t>
      </w:r>
      <w:bookmarkEnd w:id="25"/>
      <w:r w:rsidRPr="000A6633">
        <w:t xml:space="preserve"> </w:t>
      </w:r>
    </w:p>
    <w:p w14:paraId="6C48308D" w14:textId="1CEDDF3B"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and the date. Number all pages (except title page). </w:t>
      </w:r>
    </w:p>
    <w:p w14:paraId="27434759"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w:t>
      </w:r>
      <w:r w:rsidRPr="003C4014">
        <w:rPr>
          <w:color w:val="000000"/>
          <w:szCs w:val="24"/>
        </w:rPr>
        <w:lastRenderedPageBreak/>
        <w:t xml:space="preserve">to font size (Times-Roman 12), spacing (double spaced) and margins (minimum of 1 inch at the top, bottom, left and right of each page) as papers not meeting these requirements will not be accepted for grading. </w:t>
      </w:r>
    </w:p>
    <w:p w14:paraId="5B14EBF6"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4CAD12E9" w14:textId="58187D7D" w:rsidR="00345050" w:rsidRPr="000A6633" w:rsidRDefault="001F3D7B" w:rsidP="008C1257">
      <w:pPr>
        <w:pStyle w:val="Heading2"/>
      </w:pPr>
      <w:bookmarkStart w:id="26" w:name="_Toc12350810"/>
      <w:r w:rsidRPr="000A6633">
        <w:t>Avenue to Learn</w:t>
      </w:r>
      <w:r w:rsidR="00121290" w:rsidRPr="000A6633">
        <w:t xml:space="preserve"> or Courses with an On-line Element (</w:t>
      </w:r>
      <w:r w:rsidR="0086480F">
        <w:t>Zoom</w:t>
      </w:r>
      <w:r w:rsidR="00121290" w:rsidRPr="000A6633">
        <w:t>)</w:t>
      </w:r>
      <w:r w:rsidR="00345050" w:rsidRPr="000A6633">
        <w:t xml:space="preserve"> </w:t>
      </w:r>
      <w:bookmarkEnd w:id="26"/>
    </w:p>
    <w:p w14:paraId="26BB469E" w14:textId="3EE219D3"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77949B7" w14:textId="77777777" w:rsidR="006E5DC7" w:rsidRPr="000A6633" w:rsidRDefault="006E5DC7" w:rsidP="008C1257">
      <w:pPr>
        <w:pStyle w:val="Heading2"/>
      </w:pPr>
      <w:bookmarkStart w:id="27" w:name="_Toc12350811"/>
      <w:r w:rsidRPr="000A6633">
        <w:t>Submitting Assignments &amp; Grading</w:t>
      </w:r>
      <w:bookmarkEnd w:id="27"/>
      <w:r w:rsidRPr="000A6633">
        <w:t xml:space="preserve"> </w:t>
      </w:r>
    </w:p>
    <w:p w14:paraId="6F2509DA" w14:textId="77777777" w:rsidR="0086480F" w:rsidRPr="000D3F63" w:rsidRDefault="0086480F" w:rsidP="0086480F">
      <w:pPr>
        <w:rPr>
          <w:rFonts w:eastAsia="Calibri"/>
        </w:rPr>
      </w:pPr>
      <w:r w:rsidRPr="000D3F63">
        <w:rPr>
          <w:rFonts w:eastAsia="Calibri"/>
        </w:rPr>
        <w:t xml:space="preserve">Assignments must be submitted electronically via Avenue to Learning by 11:59pm on the required due date. A 2% reduction will be applied each day (i.e., Monday - Sunday) after the due date. Students should consult the McMaster University policy on extensions if they wish to request an extension on an assignment.  All extensions must be negotiated prior to the assignment due date. Please use the following criteria when preparing your assignment: </w:t>
      </w:r>
    </w:p>
    <w:p w14:paraId="7AF7E3E2" w14:textId="77777777" w:rsidR="0086480F" w:rsidRPr="000D3F63" w:rsidRDefault="0086480F" w:rsidP="0086480F">
      <w:pPr>
        <w:pStyle w:val="ListParagraph"/>
        <w:numPr>
          <w:ilvl w:val="0"/>
          <w:numId w:val="44"/>
        </w:numPr>
      </w:pPr>
      <w:r w:rsidRPr="000D3F63">
        <w:t xml:space="preserve">Include a title page with all relevant course information, adhere to the page limits specified, be formatted with 12 pt. font and standard margins, and be </w:t>
      </w:r>
      <w:proofErr w:type="gramStart"/>
      <w:r w:rsidRPr="000D3F63">
        <w:t>stapled;</w:t>
      </w:r>
      <w:proofErr w:type="gramEnd"/>
      <w:r w:rsidRPr="000D3F63">
        <w:t xml:space="preserve"> </w:t>
      </w:r>
    </w:p>
    <w:p w14:paraId="12EE4054" w14:textId="77777777" w:rsidR="0086480F" w:rsidRPr="000D3F63" w:rsidRDefault="0086480F" w:rsidP="0086480F">
      <w:pPr>
        <w:pStyle w:val="ListParagraph"/>
        <w:numPr>
          <w:ilvl w:val="0"/>
          <w:numId w:val="44"/>
        </w:numPr>
        <w:rPr>
          <w:b/>
        </w:rPr>
      </w:pPr>
      <w:r w:rsidRPr="000D3F63">
        <w:t xml:space="preserve">The citations and references in all assignments (if applicable) must use APA format (5th or 6th edition):  more information is available through the e-Resources link on the library home page </w:t>
      </w:r>
      <w:hyperlink r:id="rId9" w:history="1">
        <w:r w:rsidRPr="00CF5C42">
          <w:rPr>
            <w:rStyle w:val="Hyperlink"/>
          </w:rPr>
          <w:t>http://library.mcmaster.ca</w:t>
        </w:r>
      </w:hyperlink>
      <w:r w:rsidRPr="000D3F63">
        <w:t xml:space="preserve"> and at </w:t>
      </w:r>
      <w:hyperlink r:id="rId10" w:history="1">
        <w:r w:rsidRPr="00CF5C42">
          <w:rPr>
            <w:rStyle w:val="Hyperlink"/>
          </w:rPr>
          <w:t>http://www.apastyle.org</w:t>
        </w:r>
      </w:hyperlink>
      <w:r w:rsidRPr="000D3F63">
        <w:t>.</w:t>
      </w:r>
    </w:p>
    <w:p w14:paraId="115AF031" w14:textId="77777777" w:rsidR="006E5DC7" w:rsidRPr="000A6633" w:rsidRDefault="006E5DC7" w:rsidP="008C1257">
      <w:pPr>
        <w:pStyle w:val="Heading2"/>
      </w:pPr>
      <w:bookmarkStart w:id="28" w:name="_Toc12350812"/>
      <w:r w:rsidRPr="000A6633">
        <w:t>Privacy Protection</w:t>
      </w:r>
      <w:bookmarkEnd w:id="28"/>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2517F4A7"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23117FA4"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715A694D" w14:textId="77777777" w:rsidR="006E5DC7" w:rsidRPr="000A6633" w:rsidRDefault="006E5DC7" w:rsidP="003C4014">
      <w:pPr>
        <w:pStyle w:val="ListParagraph"/>
        <w:numPr>
          <w:ilvl w:val="0"/>
          <w:numId w:val="29"/>
        </w:numPr>
      </w:pPr>
      <w:r w:rsidRPr="000A6633">
        <w:t xml:space="preserve">Submit/grade/return papers electronically. </w:t>
      </w:r>
    </w:p>
    <w:p w14:paraId="3486AE0D" w14:textId="77777777" w:rsidR="006E5DC7" w:rsidRPr="000A6633" w:rsidRDefault="006E5DC7" w:rsidP="003C4014">
      <w:r w:rsidRPr="000A6633">
        <w:lastRenderedPageBreak/>
        <w:t xml:space="preserve">Arrangements for the return of assignments from the options above will be finalized during the first class. </w:t>
      </w:r>
    </w:p>
    <w:p w14:paraId="2DD004F6" w14:textId="77777777" w:rsidR="006E5DC7" w:rsidRPr="000A6633" w:rsidRDefault="00205826" w:rsidP="008C1257">
      <w:pPr>
        <w:pStyle w:val="Heading2"/>
      </w:pPr>
      <w:bookmarkStart w:id="29" w:name="_Toc12350813"/>
      <w:r w:rsidRPr="000A6633">
        <w:t>Extreme Circumstances</w:t>
      </w:r>
      <w:bookmarkEnd w:id="29"/>
    </w:p>
    <w:p w14:paraId="205B1BD9"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62481C70" w14:textId="77777777" w:rsidR="003F60FC" w:rsidRPr="000A6633" w:rsidRDefault="003F60FC" w:rsidP="003F0E2E">
      <w:pPr>
        <w:pStyle w:val="Heading1"/>
      </w:pPr>
      <w:bookmarkStart w:id="30" w:name="_Toc12350814"/>
      <w:bookmarkStart w:id="31" w:name="_Toc12606608"/>
      <w:r w:rsidRPr="000A6633">
        <w:t>Student Responsibilities</w:t>
      </w:r>
      <w:bookmarkEnd w:id="30"/>
      <w:bookmarkEnd w:id="31"/>
      <w:r w:rsidRPr="000A6633">
        <w:t xml:space="preserve"> </w:t>
      </w:r>
    </w:p>
    <w:p w14:paraId="26494212" w14:textId="77777777"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1EA04D41" w14:textId="77777777" w:rsidR="00EA17D1" w:rsidRPr="003C4014" w:rsidRDefault="00EA17D1" w:rsidP="003C4014">
      <w:pPr>
        <w:pStyle w:val="ListParagraph"/>
        <w:numPr>
          <w:ilvl w:val="0"/>
          <w:numId w:val="30"/>
        </w:numPr>
        <w:rPr>
          <w:b/>
          <w:color w:val="000000"/>
          <w:szCs w:val="24"/>
        </w:rPr>
      </w:pPr>
      <w:r w:rsidRPr="003C4014">
        <w:rPr>
          <w:color w:val="000000"/>
          <w:szCs w:val="24"/>
        </w:rPr>
        <w:t xml:space="preserve">Please check with the instructor before using any audio or video recording devices in the classroom. </w:t>
      </w:r>
    </w:p>
    <w:p w14:paraId="21DEA434" w14:textId="77777777" w:rsidR="003F60FC" w:rsidRPr="000A6633" w:rsidRDefault="003F60FC" w:rsidP="008C1257">
      <w:pPr>
        <w:pStyle w:val="Heading2"/>
      </w:pPr>
      <w:bookmarkStart w:id="32" w:name="_Toc12350817"/>
      <w:r w:rsidRPr="000A6633">
        <w:t>Academic Integrity</w:t>
      </w:r>
      <w:bookmarkEnd w:id="32"/>
      <w:r w:rsidRPr="000A6633">
        <w:t xml:space="preserve"> </w:t>
      </w:r>
    </w:p>
    <w:p w14:paraId="754E2818" w14:textId="500ED407" w:rsidR="00E5793A" w:rsidRDefault="00121290" w:rsidP="003C4014">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1" w:history="1">
        <w:r w:rsidRPr="003C4014">
          <w:rPr>
            <w:rStyle w:val="Hyperlink"/>
            <w:rFonts w:cs="Arial"/>
            <w:szCs w:val="24"/>
          </w:rPr>
          <w:t>Academic Integrity Policy</w:t>
        </w:r>
      </w:hyperlink>
      <w:r w:rsidR="00E5793A">
        <w:t xml:space="preserve"> </w:t>
      </w:r>
      <w:r w:rsidRPr="000A6633">
        <w:t xml:space="preserve"> </w:t>
      </w:r>
    </w:p>
    <w:p w14:paraId="63E8EFED" w14:textId="77777777" w:rsidR="00210F2C" w:rsidRDefault="00210F2C" w:rsidP="003C4014">
      <w:pPr>
        <w:rPr>
          <w:b/>
        </w:rPr>
      </w:pP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77777777" w:rsidR="00121290" w:rsidRPr="003C4014" w:rsidRDefault="00121290" w:rsidP="003C4014">
      <w:pPr>
        <w:pStyle w:val="ListParagraph"/>
        <w:numPr>
          <w:ilvl w:val="0"/>
          <w:numId w:val="31"/>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8C1257">
      <w:pPr>
        <w:pStyle w:val="Heading2"/>
      </w:pPr>
      <w:bookmarkStart w:id="33" w:name="_Hlk522105905"/>
      <w:r>
        <w:lastRenderedPageBreak/>
        <w:t>Conduct Expectations</w:t>
      </w:r>
    </w:p>
    <w:p w14:paraId="6FB6E03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Default="003B75D1" w:rsidP="008C1257">
      <w:pPr>
        <w:pStyle w:val="Heading2"/>
      </w:pPr>
      <w:r>
        <w:t>Academic Accommodation of Students with Disabilities</w:t>
      </w:r>
    </w:p>
    <w:p w14:paraId="6DB27E2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2">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39FB51A" w14:textId="77777777" w:rsidR="000569EF" w:rsidRPr="000A6633" w:rsidRDefault="000569EF" w:rsidP="008C1257">
      <w:pPr>
        <w:pStyle w:val="Heading2"/>
      </w:pPr>
      <w:r w:rsidRPr="000A6633">
        <w:t>Accessibility Statement</w:t>
      </w:r>
    </w:p>
    <w:p w14:paraId="50F3932A"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4" w:name="_Toc12350821"/>
      <w:bookmarkEnd w:id="33"/>
    </w:p>
    <w:p w14:paraId="2B61A1AE" w14:textId="77777777" w:rsidR="008C1257" w:rsidRPr="008C1257" w:rsidRDefault="008C1257" w:rsidP="008C1257">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0A6633" w:rsidRDefault="003F60FC" w:rsidP="008C1257">
      <w:pPr>
        <w:pStyle w:val="Heading2"/>
      </w:pPr>
      <w:r w:rsidRPr="000A6633">
        <w:lastRenderedPageBreak/>
        <w:t>E-mail Communication Policy</w:t>
      </w:r>
      <w:bookmarkEnd w:id="34"/>
      <w:r w:rsidRPr="000A6633">
        <w:t xml:space="preserve"> </w:t>
      </w:r>
    </w:p>
    <w:p w14:paraId="3EFDBA7C" w14:textId="77777777" w:rsidR="008C1257" w:rsidRDefault="00F439A1" w:rsidP="008C1257">
      <w:bookmarkStart w:id="35"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6" w:name="_Hlk522106028"/>
      <w:bookmarkEnd w:id="35"/>
    </w:p>
    <w:p w14:paraId="26E80861" w14:textId="77777777" w:rsidR="008C1257" w:rsidRPr="008C1257" w:rsidRDefault="008C1257" w:rsidP="008C1257">
      <w:pPr>
        <w:pStyle w:val="Heading2"/>
      </w:pPr>
      <w:r w:rsidRPr="008C1257">
        <w:t>Copyright and Recording</w:t>
      </w:r>
    </w:p>
    <w:p w14:paraId="2E964935" w14:textId="77777777" w:rsidR="008C1257" w:rsidRPr="008C1257" w:rsidRDefault="008C1257" w:rsidP="00C3253D">
      <w:pPr>
        <w:widowControl w:val="0"/>
        <w:autoSpaceDE w:val="0"/>
        <w:autoSpaceDN w:val="0"/>
        <w:spacing w:before="124" w:line="242" w:lineRule="auto"/>
        <w:ind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 xml:space="preserve">by </w:t>
      </w:r>
      <w:proofErr w:type="gramStart"/>
      <w:r w:rsidRPr="008C1257">
        <w:rPr>
          <w:rFonts w:eastAsia="Arial Narrow" w:cs="Arial"/>
          <w:szCs w:val="24"/>
        </w:rPr>
        <w:t>University</w:t>
      </w:r>
      <w:proofErr w:type="gramEnd"/>
      <w:r w:rsidRPr="008C1257">
        <w:rPr>
          <w:rFonts w:eastAsia="Arial Narrow" w:cs="Arial"/>
          <w:szCs w:val="24"/>
        </w:rPr>
        <w:t xml:space="preserve"> instructors</w:t>
      </w:r>
    </w:p>
    <w:p w14:paraId="5683332B" w14:textId="77777777" w:rsidR="008C1257" w:rsidRPr="008C1257" w:rsidRDefault="008C1257" w:rsidP="00C3253D">
      <w:pPr>
        <w:widowControl w:val="0"/>
        <w:autoSpaceDE w:val="0"/>
        <w:autoSpaceDN w:val="0"/>
        <w:spacing w:before="159" w:line="244" w:lineRule="auto"/>
        <w:ind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4EEC51" w14:textId="77777777" w:rsidR="008C1257" w:rsidRPr="008F141C" w:rsidRDefault="008C1257" w:rsidP="003C4014">
      <w:pPr>
        <w:rPr>
          <w:b/>
        </w:rPr>
      </w:pPr>
    </w:p>
    <w:p w14:paraId="28CC7DEC" w14:textId="3115202F" w:rsidR="00DE6FAF" w:rsidRDefault="00DE6FAF" w:rsidP="003F0E2E">
      <w:pPr>
        <w:pStyle w:val="Heading1"/>
      </w:pPr>
      <w:bookmarkStart w:id="37" w:name="_Toc12350823"/>
      <w:bookmarkStart w:id="38" w:name="_Toc12606609"/>
      <w:bookmarkEnd w:id="36"/>
      <w:r w:rsidRPr="00410B29">
        <w:t>Course Weekly Topics and Readings</w:t>
      </w:r>
      <w:bookmarkEnd w:id="37"/>
      <w:bookmarkEnd w:id="38"/>
    </w:p>
    <w:p w14:paraId="6C3CF844" w14:textId="77777777" w:rsidR="001A790A" w:rsidRDefault="001A790A" w:rsidP="001A790A">
      <w:pPr>
        <w:ind w:left="720"/>
        <w:contextualSpacing/>
        <w:rPr>
          <w:rFonts w:ascii="Calibri" w:hAnsi="Calibri"/>
          <w:i/>
          <w:iCs/>
          <w:szCs w:val="24"/>
          <w:lang w:val="en-CA"/>
        </w:rPr>
      </w:pPr>
      <w:r>
        <w:rPr>
          <w:i/>
          <w:iCs/>
          <w:szCs w:val="24"/>
          <w:lang w:val="en-CA"/>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12806958" w14:textId="77777777" w:rsidR="001A790A" w:rsidRPr="001A790A" w:rsidRDefault="001A790A" w:rsidP="001A790A"/>
    <w:p w14:paraId="48079DCE" w14:textId="3A07705C" w:rsidR="00DE6FAF" w:rsidRPr="00410B29" w:rsidRDefault="003D468A" w:rsidP="008C1257">
      <w:pPr>
        <w:pStyle w:val="Heading2"/>
      </w:pPr>
      <w:bookmarkStart w:id="39" w:name="_Toc12350824"/>
      <w:r w:rsidRPr="00410B29">
        <w:t xml:space="preserve">Week 1: </w:t>
      </w:r>
      <w:r w:rsidR="00CF384C">
        <w:t xml:space="preserve">January 12, </w:t>
      </w:r>
      <w:proofErr w:type="gramStart"/>
      <w:r w:rsidR="00CF384C">
        <w:t>202</w:t>
      </w:r>
      <w:r w:rsidR="004D58B8">
        <w:t>2</w:t>
      </w:r>
      <w:bookmarkEnd w:id="39"/>
      <w:r w:rsidR="003B38A3">
        <w:t xml:space="preserve">  </w:t>
      </w:r>
      <w:r w:rsidR="00C3253D">
        <w:t>Virtual</w:t>
      </w:r>
      <w:proofErr w:type="gramEnd"/>
      <w:r w:rsidR="00046D88">
        <w:t>, Synchronous</w:t>
      </w:r>
    </w:p>
    <w:p w14:paraId="673DB4DC" w14:textId="77777777" w:rsidR="003D468A" w:rsidRPr="00410B29" w:rsidRDefault="003D468A" w:rsidP="003C4014">
      <w:pPr>
        <w:pStyle w:val="Heading3"/>
      </w:pPr>
      <w:r w:rsidRPr="00410B29">
        <w:t>Topics:</w:t>
      </w:r>
    </w:p>
    <w:p w14:paraId="000A9D2B" w14:textId="064CAAB9" w:rsidR="003D468A" w:rsidRPr="00013B6C" w:rsidRDefault="00CF384C" w:rsidP="00D5233D">
      <w:pPr>
        <w:pStyle w:val="ListParagraph"/>
        <w:numPr>
          <w:ilvl w:val="0"/>
          <w:numId w:val="32"/>
        </w:numPr>
        <w:rPr>
          <w:b/>
          <w:bCs/>
        </w:rPr>
      </w:pPr>
      <w:r w:rsidRPr="00013B6C">
        <w:rPr>
          <w:b/>
          <w:bCs/>
        </w:rPr>
        <w:t>Introduction</w:t>
      </w:r>
    </w:p>
    <w:p w14:paraId="323C27BB" w14:textId="6376BEE0" w:rsidR="003D468A" w:rsidRPr="00410B29" w:rsidRDefault="008C1E64" w:rsidP="008C1257">
      <w:pPr>
        <w:pStyle w:val="Heading2"/>
      </w:pPr>
      <w:bookmarkStart w:id="40" w:name="_Toc12350825"/>
      <w:r w:rsidRPr="00410B29">
        <w:t>Week 2</w:t>
      </w:r>
      <w:r w:rsidR="003D468A" w:rsidRPr="00410B29">
        <w:t xml:space="preserve">: </w:t>
      </w:r>
      <w:r w:rsidR="00CF384C">
        <w:t xml:space="preserve">January 19, </w:t>
      </w:r>
      <w:proofErr w:type="gramStart"/>
      <w:r w:rsidR="00CF384C">
        <w:t>202</w:t>
      </w:r>
      <w:r w:rsidR="004D58B8">
        <w:t>2</w:t>
      </w:r>
      <w:bookmarkEnd w:id="40"/>
      <w:r w:rsidR="00046D88">
        <w:t xml:space="preserve">  Virtual</w:t>
      </w:r>
      <w:proofErr w:type="gramEnd"/>
      <w:r w:rsidR="00046D88">
        <w:t>, Synchronous</w:t>
      </w:r>
    </w:p>
    <w:p w14:paraId="48CCF1BF" w14:textId="77777777" w:rsidR="003D468A" w:rsidRPr="00410B29" w:rsidRDefault="003D468A" w:rsidP="003C4014">
      <w:pPr>
        <w:pStyle w:val="Heading3"/>
      </w:pPr>
      <w:r w:rsidRPr="00410B29">
        <w:t>Topics:</w:t>
      </w:r>
    </w:p>
    <w:p w14:paraId="69AD3150" w14:textId="093E4F5A" w:rsidR="003D468A" w:rsidRPr="008869DD" w:rsidRDefault="00CF384C" w:rsidP="001A70D7">
      <w:pPr>
        <w:pStyle w:val="ListParagraph"/>
        <w:numPr>
          <w:ilvl w:val="0"/>
          <w:numId w:val="32"/>
        </w:numPr>
        <w:rPr>
          <w:b/>
          <w:bCs/>
        </w:rPr>
      </w:pPr>
      <w:r w:rsidRPr="008869DD">
        <w:rPr>
          <w:b/>
          <w:bCs/>
        </w:rPr>
        <w:t>Framing Social Policy</w:t>
      </w:r>
    </w:p>
    <w:p w14:paraId="3449C5EC" w14:textId="77777777" w:rsidR="003D468A" w:rsidRPr="00410B29" w:rsidRDefault="003D468A" w:rsidP="003C4014">
      <w:pPr>
        <w:pStyle w:val="Heading3"/>
      </w:pPr>
      <w:r w:rsidRPr="00410B29">
        <w:t>Readings:</w:t>
      </w:r>
    </w:p>
    <w:p w14:paraId="1E965208" w14:textId="77777777" w:rsidR="00CF384C" w:rsidRPr="00CF384C" w:rsidRDefault="00CF384C" w:rsidP="00CF384C">
      <w:pPr>
        <w:pStyle w:val="ListParagraph"/>
        <w:numPr>
          <w:ilvl w:val="0"/>
          <w:numId w:val="32"/>
        </w:numPr>
        <w:spacing w:after="240"/>
        <w:rPr>
          <w:rFonts w:cs="Arial"/>
          <w:szCs w:val="24"/>
        </w:rPr>
      </w:pPr>
      <w:r w:rsidRPr="00CF384C">
        <w:rPr>
          <w:rFonts w:cs="Arial"/>
          <w:szCs w:val="24"/>
        </w:rPr>
        <w:t xml:space="preserve">Bradshaw, T.K. (2007). Theories of Poverty and Anti-Poverty Programs in Community Development. </w:t>
      </w:r>
      <w:r w:rsidRPr="00CF384C">
        <w:rPr>
          <w:rFonts w:cs="Arial"/>
          <w:i/>
          <w:szCs w:val="24"/>
        </w:rPr>
        <w:t>Community Development 38</w:t>
      </w:r>
      <w:r w:rsidRPr="00CF384C">
        <w:rPr>
          <w:rFonts w:cs="Arial"/>
          <w:szCs w:val="24"/>
        </w:rPr>
        <w:t>(1), 7-25.</w:t>
      </w:r>
    </w:p>
    <w:p w14:paraId="07D5C3A4" w14:textId="77777777" w:rsidR="00CF384C" w:rsidRPr="00CF384C" w:rsidRDefault="00CF384C" w:rsidP="00CF384C">
      <w:pPr>
        <w:pStyle w:val="ListParagraph"/>
        <w:numPr>
          <w:ilvl w:val="0"/>
          <w:numId w:val="32"/>
        </w:numPr>
        <w:spacing w:after="240"/>
        <w:rPr>
          <w:rFonts w:eastAsia="SimSun" w:cs="Arial"/>
          <w:szCs w:val="24"/>
        </w:rPr>
      </w:pPr>
      <w:r w:rsidRPr="00CF384C">
        <w:rPr>
          <w:rFonts w:eastAsia="SimSun" w:cs="Arial"/>
          <w:szCs w:val="24"/>
        </w:rPr>
        <w:lastRenderedPageBreak/>
        <w:t xml:space="preserve">Schon, D. &amp; Rein, M. (1994). </w:t>
      </w:r>
      <w:r w:rsidRPr="00CF384C">
        <w:rPr>
          <w:rFonts w:eastAsia="SimSun" w:cs="Arial"/>
          <w:i/>
          <w:szCs w:val="24"/>
        </w:rPr>
        <w:t>Frame Reflection: Toward the Resolution of Intractable Policy Controversies</w:t>
      </w:r>
      <w:r w:rsidRPr="00CF384C">
        <w:rPr>
          <w:rFonts w:eastAsia="SimSun" w:cs="Arial"/>
          <w:szCs w:val="24"/>
        </w:rPr>
        <w:t>. New York: Basic Books. Chapter 2.</w:t>
      </w:r>
    </w:p>
    <w:p w14:paraId="2EBF300A" w14:textId="2283FAB2" w:rsidR="00CF384C" w:rsidRPr="00CF384C" w:rsidRDefault="002C0C5B" w:rsidP="00CF384C">
      <w:pPr>
        <w:pStyle w:val="ListParagraph"/>
        <w:numPr>
          <w:ilvl w:val="0"/>
          <w:numId w:val="32"/>
        </w:numPr>
        <w:autoSpaceDE w:val="0"/>
        <w:autoSpaceDN w:val="0"/>
        <w:adjustRightInd w:val="0"/>
        <w:rPr>
          <w:rFonts w:cs="Arial"/>
          <w:szCs w:val="24"/>
        </w:rPr>
      </w:pPr>
      <w:r>
        <w:rPr>
          <w:rFonts w:cs="Arial"/>
          <w:szCs w:val="24"/>
        </w:rPr>
        <w:t xml:space="preserve">Peter, N. </w:t>
      </w:r>
      <w:r w:rsidR="00CF384C" w:rsidRPr="00CF384C">
        <w:rPr>
          <w:rFonts w:cs="Arial"/>
          <w:szCs w:val="24"/>
        </w:rPr>
        <w:t xml:space="preserve">&amp; </w:t>
      </w:r>
      <w:r>
        <w:rPr>
          <w:rFonts w:cs="Arial"/>
          <w:szCs w:val="24"/>
        </w:rPr>
        <w:t>Polgar, J.M.</w:t>
      </w:r>
      <w:r w:rsidR="00CF384C" w:rsidRPr="00CF384C">
        <w:rPr>
          <w:rFonts w:cs="Arial"/>
          <w:szCs w:val="24"/>
        </w:rPr>
        <w:t xml:space="preserve"> (2021) Social Assistance in </w:t>
      </w:r>
      <w:proofErr w:type="spellStart"/>
      <w:proofErr w:type="gramStart"/>
      <w:r w:rsidR="00CF384C" w:rsidRPr="00CF384C">
        <w:rPr>
          <w:rFonts w:cs="Arial"/>
          <w:szCs w:val="24"/>
        </w:rPr>
        <w:t>Ontario:What</w:t>
      </w:r>
      <w:proofErr w:type="spellEnd"/>
      <w:proofErr w:type="gramEnd"/>
      <w:r w:rsidR="00CF384C" w:rsidRPr="00CF384C">
        <w:rPr>
          <w:rFonts w:cs="Arial"/>
          <w:szCs w:val="24"/>
        </w:rPr>
        <w:t xml:space="preserve"> is the Problem Represented to </w:t>
      </w:r>
      <w:proofErr w:type="spellStart"/>
      <w:r w:rsidR="00CF384C" w:rsidRPr="00CF384C">
        <w:rPr>
          <w:rFonts w:cs="Arial"/>
          <w:szCs w:val="24"/>
        </w:rPr>
        <w:t>Be?</w:t>
      </w:r>
      <w:r w:rsidR="00CF384C" w:rsidRPr="00CF384C">
        <w:rPr>
          <w:rFonts w:cs="Arial"/>
          <w:i/>
          <w:iCs/>
          <w:szCs w:val="24"/>
        </w:rPr>
        <w:t>Journal</w:t>
      </w:r>
      <w:proofErr w:type="spellEnd"/>
      <w:r w:rsidR="00CF384C" w:rsidRPr="00CF384C">
        <w:rPr>
          <w:rFonts w:cs="Arial"/>
          <w:i/>
          <w:iCs/>
          <w:szCs w:val="24"/>
        </w:rPr>
        <w:t xml:space="preserve"> of Poverty 25</w:t>
      </w:r>
      <w:r w:rsidR="00CF384C" w:rsidRPr="00CF384C">
        <w:rPr>
          <w:rFonts w:cs="Arial"/>
          <w:szCs w:val="24"/>
        </w:rPr>
        <w:t>(3), 229-248.  DOI:10.1080/10875549.2020.1799285</w:t>
      </w:r>
    </w:p>
    <w:p w14:paraId="2865232B" w14:textId="3BD8C273" w:rsidR="003D468A" w:rsidRDefault="008C1E64" w:rsidP="008C1257">
      <w:pPr>
        <w:pStyle w:val="Heading2"/>
      </w:pPr>
      <w:bookmarkStart w:id="41" w:name="_Toc12350826"/>
      <w:r w:rsidRPr="00410B29">
        <w:t>Week 3</w:t>
      </w:r>
      <w:r w:rsidR="003D468A" w:rsidRPr="00410B29">
        <w:t xml:space="preserve">: </w:t>
      </w:r>
      <w:r w:rsidR="00CF384C">
        <w:t xml:space="preserve">January 26, </w:t>
      </w:r>
      <w:proofErr w:type="gramStart"/>
      <w:r w:rsidR="00CF384C">
        <w:t>202</w:t>
      </w:r>
      <w:r w:rsidR="004D58B8">
        <w:t>2</w:t>
      </w:r>
      <w:bookmarkEnd w:id="41"/>
      <w:r w:rsidR="008869DD">
        <w:t xml:space="preserve">  </w:t>
      </w:r>
      <w:r w:rsidR="00C3253D">
        <w:t>Virtual</w:t>
      </w:r>
      <w:proofErr w:type="gramEnd"/>
      <w:r w:rsidR="00046D88">
        <w:t>, Synchronous</w:t>
      </w:r>
    </w:p>
    <w:p w14:paraId="28A978B7" w14:textId="0FE646FD" w:rsidR="00F728EE" w:rsidRDefault="003D468A" w:rsidP="008869DD">
      <w:pPr>
        <w:pStyle w:val="Heading3"/>
        <w:rPr>
          <w:bCs w:val="0"/>
        </w:rPr>
      </w:pPr>
      <w:r w:rsidRPr="00410B29">
        <w:t>Topics:</w:t>
      </w:r>
      <w:r w:rsidR="00C63704" w:rsidRPr="00C63704">
        <w:rPr>
          <w:b/>
        </w:rPr>
        <w:t xml:space="preserve"> </w:t>
      </w:r>
      <w:r w:rsidR="008869DD">
        <w:rPr>
          <w:b/>
        </w:rPr>
        <w:t xml:space="preserve"> </w:t>
      </w:r>
      <w:r w:rsidR="00F728EE">
        <w:rPr>
          <w:bCs w:val="0"/>
        </w:rPr>
        <w:t>Policy briefs as an advocacy tool</w:t>
      </w:r>
    </w:p>
    <w:p w14:paraId="103E10EF" w14:textId="381C5D11" w:rsidR="00F728EE" w:rsidRDefault="00F728EE" w:rsidP="00F728EE"/>
    <w:p w14:paraId="332B3084" w14:textId="3BA02F76" w:rsidR="00F728EE" w:rsidRDefault="00F728EE" w:rsidP="00F728EE">
      <w:r>
        <w:t xml:space="preserve">Readings:  </w:t>
      </w:r>
    </w:p>
    <w:p w14:paraId="0B49A467" w14:textId="3AF5D409" w:rsidR="00F728EE" w:rsidRDefault="00F728EE" w:rsidP="00F728EE">
      <w:pPr>
        <w:pStyle w:val="ListParagraph"/>
        <w:numPr>
          <w:ilvl w:val="0"/>
          <w:numId w:val="45"/>
        </w:numPr>
      </w:pPr>
      <w:r>
        <w:t>Ffrench-Constant, L. How to plan, write and communicate an effective policy brief: Three steps to success.  Research to Action.</w:t>
      </w:r>
    </w:p>
    <w:p w14:paraId="03D43D42" w14:textId="7D801B6C" w:rsidR="009C7928" w:rsidRDefault="009C7928" w:rsidP="00F728EE">
      <w:pPr>
        <w:pStyle w:val="ListParagraph"/>
        <w:numPr>
          <w:ilvl w:val="0"/>
          <w:numId w:val="45"/>
        </w:numPr>
      </w:pPr>
      <w:r>
        <w:t xml:space="preserve">Policy </w:t>
      </w:r>
      <w:proofErr w:type="spellStart"/>
      <w:r>
        <w:t>Briefs.University</w:t>
      </w:r>
      <w:proofErr w:type="spellEnd"/>
      <w:r>
        <w:t xml:space="preserve"> of Chapel Hill Writing Center.</w:t>
      </w:r>
    </w:p>
    <w:p w14:paraId="3A3DC957" w14:textId="0A25BC02" w:rsidR="008C73CD" w:rsidRDefault="008C73CD" w:rsidP="00F728EE">
      <w:pPr>
        <w:pStyle w:val="ListParagraph"/>
        <w:numPr>
          <w:ilvl w:val="0"/>
          <w:numId w:val="45"/>
        </w:numPr>
      </w:pPr>
      <w:r>
        <w:t xml:space="preserve">Writing Effective Reports 4.1, Preparing policy briefs, pp. Food and Agriculture Organization of the United Nations. </w:t>
      </w:r>
      <w:hyperlink r:id="rId13" w:history="1">
        <w:r w:rsidR="002B6305" w:rsidRPr="00A01399">
          <w:rPr>
            <w:rStyle w:val="Hyperlink"/>
          </w:rPr>
          <w:t>https://www.fao.org/3/i2195e/i2195e03.pdf</w:t>
        </w:r>
      </w:hyperlink>
    </w:p>
    <w:p w14:paraId="6849127C" w14:textId="41878E80" w:rsidR="008C73CD" w:rsidRDefault="008C73CD" w:rsidP="00F728EE">
      <w:pPr>
        <w:pStyle w:val="ListParagraph"/>
        <w:numPr>
          <w:ilvl w:val="0"/>
          <w:numId w:val="45"/>
        </w:numPr>
      </w:pPr>
      <w:r>
        <w:t xml:space="preserve">See IRDC’s detailed website on writing policy briefs:  </w:t>
      </w:r>
      <w:hyperlink r:id="rId14" w:history="1">
        <w:r w:rsidRPr="00A01399">
          <w:rPr>
            <w:rStyle w:val="Hyperlink"/>
          </w:rPr>
          <w:t>https://www.idrc.ca/en/how-write-policy-brief</w:t>
        </w:r>
      </w:hyperlink>
    </w:p>
    <w:p w14:paraId="052BA3A3" w14:textId="18033B76" w:rsidR="008869DD" w:rsidRPr="00410B29" w:rsidRDefault="008C73CD" w:rsidP="008869DD">
      <w:pPr>
        <w:pStyle w:val="Heading3"/>
      </w:pPr>
      <w:r>
        <w:t>After an introduction to policy briefs and the assignment, s</w:t>
      </w:r>
      <w:r w:rsidR="008869DD">
        <w:t xml:space="preserve">tudents will work in small groups </w:t>
      </w:r>
      <w:r w:rsidR="00013B6C">
        <w:t xml:space="preserve">to begin </w:t>
      </w:r>
      <w:r w:rsidR="008869DD">
        <w:t>on the</w:t>
      </w:r>
      <w:r w:rsidR="003612E5">
        <w:t xml:space="preserve"> </w:t>
      </w:r>
      <w:r>
        <w:t>p</w:t>
      </w:r>
      <w:r w:rsidR="003612E5">
        <w:t xml:space="preserve">olicy </w:t>
      </w:r>
      <w:r>
        <w:t>b</w:t>
      </w:r>
      <w:r w:rsidR="003612E5">
        <w:t>rief assignment</w:t>
      </w:r>
      <w:r w:rsidR="008869DD">
        <w:t xml:space="preserve"> </w:t>
      </w:r>
    </w:p>
    <w:p w14:paraId="7B624CDD" w14:textId="77777777" w:rsidR="008869DD" w:rsidRPr="008869DD" w:rsidRDefault="008869DD" w:rsidP="008869DD"/>
    <w:p w14:paraId="2CA6823E" w14:textId="36C9E0BD" w:rsidR="003D468A" w:rsidRDefault="008C1E64" w:rsidP="008C1257">
      <w:pPr>
        <w:pStyle w:val="Heading2"/>
      </w:pPr>
      <w:bookmarkStart w:id="42" w:name="_Toc12350827"/>
      <w:r w:rsidRPr="00410B29">
        <w:t>Week 4</w:t>
      </w:r>
      <w:r w:rsidR="003D468A" w:rsidRPr="00410B29">
        <w:t xml:space="preserve">: </w:t>
      </w:r>
      <w:r w:rsidR="00C63704">
        <w:t xml:space="preserve">February 2, </w:t>
      </w:r>
      <w:proofErr w:type="gramStart"/>
      <w:r w:rsidR="00C63704">
        <w:t>202</w:t>
      </w:r>
      <w:r w:rsidR="004D58B8">
        <w:t>2</w:t>
      </w:r>
      <w:bookmarkEnd w:id="42"/>
      <w:r w:rsidR="00C63704">
        <w:t xml:space="preserve">  </w:t>
      </w:r>
      <w:r w:rsidR="00046D88">
        <w:t>Virtual</w:t>
      </w:r>
      <w:proofErr w:type="gramEnd"/>
      <w:r w:rsidR="00046D88">
        <w:t>, Synchronous</w:t>
      </w:r>
    </w:p>
    <w:p w14:paraId="2FFD11C6" w14:textId="77777777" w:rsidR="008869DD" w:rsidRPr="008869DD" w:rsidRDefault="008869DD" w:rsidP="008869DD">
      <w:pPr>
        <w:rPr>
          <w:b/>
        </w:rPr>
      </w:pPr>
      <w:r w:rsidRPr="008869DD">
        <w:rPr>
          <w:lang w:val="en-GB"/>
        </w:rPr>
        <w:t xml:space="preserve">Topics: </w:t>
      </w:r>
      <w:r w:rsidRPr="008869DD">
        <w:rPr>
          <w:b/>
          <w:bCs/>
        </w:rPr>
        <w:t xml:space="preserve">The study of social policy:  as discourse, as redistribution, as policy process </w:t>
      </w:r>
    </w:p>
    <w:p w14:paraId="1A9F99AC" w14:textId="77777777" w:rsidR="008869DD" w:rsidRPr="00410B29" w:rsidRDefault="008869DD" w:rsidP="008869DD">
      <w:pPr>
        <w:pStyle w:val="Heading3"/>
      </w:pPr>
      <w:r w:rsidRPr="00410B29">
        <w:t>Readings:</w:t>
      </w:r>
    </w:p>
    <w:p w14:paraId="77D70C8F" w14:textId="77777777" w:rsidR="008869DD" w:rsidRPr="00C63704" w:rsidRDefault="008869DD" w:rsidP="008869DD">
      <w:pPr>
        <w:pStyle w:val="ListParagraph"/>
        <w:numPr>
          <w:ilvl w:val="0"/>
          <w:numId w:val="32"/>
        </w:numPr>
        <w:autoSpaceDE w:val="0"/>
        <w:autoSpaceDN w:val="0"/>
        <w:adjustRightInd w:val="0"/>
        <w:rPr>
          <w:rFonts w:cstheme="minorHAnsi"/>
        </w:rPr>
      </w:pPr>
      <w:r>
        <w:t xml:space="preserve">De Corte, J. &amp; Roose, R. (2020). </w:t>
      </w:r>
      <w:r w:rsidRPr="00C63704">
        <w:rPr>
          <w:rFonts w:cstheme="minorHAnsi"/>
        </w:rPr>
        <w:t>Social work as a policy actor: understanding social policy as an</w:t>
      </w:r>
      <w:r>
        <w:rPr>
          <w:rFonts w:cstheme="minorHAnsi"/>
        </w:rPr>
        <w:t xml:space="preserve"> </w:t>
      </w:r>
      <w:r w:rsidRPr="00C63704">
        <w:rPr>
          <w:rFonts w:cstheme="minorHAnsi"/>
        </w:rPr>
        <w:t xml:space="preserve">open-ended democratic practice. </w:t>
      </w:r>
      <w:r w:rsidRPr="00C63704">
        <w:rPr>
          <w:rFonts w:cstheme="minorHAnsi"/>
          <w:i/>
          <w:iCs/>
        </w:rPr>
        <w:t>European Journal of Social Work 23</w:t>
      </w:r>
      <w:r w:rsidRPr="00C63704">
        <w:rPr>
          <w:rFonts w:cstheme="minorHAnsi"/>
        </w:rPr>
        <w:t>(2), 227-238.</w:t>
      </w:r>
    </w:p>
    <w:p w14:paraId="1009C92E" w14:textId="77777777" w:rsidR="008869DD" w:rsidRPr="00C63704" w:rsidRDefault="008869DD" w:rsidP="008869DD">
      <w:pPr>
        <w:pStyle w:val="ListParagraph"/>
        <w:numPr>
          <w:ilvl w:val="0"/>
          <w:numId w:val="32"/>
        </w:numPr>
        <w:autoSpaceDE w:val="0"/>
        <w:autoSpaceDN w:val="0"/>
        <w:adjustRightInd w:val="0"/>
        <w:rPr>
          <w:rFonts w:cs="Arial"/>
        </w:rPr>
      </w:pPr>
      <w:r w:rsidRPr="00C63704">
        <w:rPr>
          <w:rFonts w:cstheme="minorHAnsi"/>
        </w:rPr>
        <w:t xml:space="preserve">Smith-Carrier, T. &amp; Lawlor, A. (2017). Realising our (neoliberal) potential? A critical discourse analysis of the Poverty Reduction Strategy in Ontario, Canada.  </w:t>
      </w:r>
      <w:r w:rsidRPr="00C63704">
        <w:rPr>
          <w:rFonts w:cs="Arial"/>
          <w:i/>
          <w:iCs/>
        </w:rPr>
        <w:t>Critical Social Policy 37</w:t>
      </w:r>
      <w:r w:rsidRPr="00C63704">
        <w:rPr>
          <w:rFonts w:cs="Arial"/>
        </w:rPr>
        <w:t>(1), 105–127.</w:t>
      </w:r>
    </w:p>
    <w:p w14:paraId="273B0590" w14:textId="349F9D16" w:rsidR="008869DD" w:rsidRPr="00F43301" w:rsidRDefault="008869DD" w:rsidP="00F43301">
      <w:pPr>
        <w:pStyle w:val="ListParagraph"/>
        <w:numPr>
          <w:ilvl w:val="0"/>
          <w:numId w:val="32"/>
        </w:numPr>
        <w:spacing w:after="0"/>
        <w:rPr>
          <w:lang w:val="en-GB"/>
        </w:rPr>
      </w:pPr>
      <w:r w:rsidRPr="00FC7FF9">
        <w:rPr>
          <w:rFonts w:eastAsia="SimSun" w:cs="Arial"/>
        </w:rPr>
        <w:t xml:space="preserve">Sefton, T. (2006). “Distributive and Redistributive Policy”.  </w:t>
      </w:r>
      <w:proofErr w:type="gramStart"/>
      <w:r w:rsidRPr="00FC7FF9">
        <w:rPr>
          <w:rFonts w:eastAsia="SimSun" w:cs="Arial"/>
        </w:rPr>
        <w:t>In  M.</w:t>
      </w:r>
      <w:proofErr w:type="gramEnd"/>
      <w:r w:rsidRPr="00FC7FF9">
        <w:rPr>
          <w:rFonts w:eastAsia="SimSun" w:cs="Arial"/>
        </w:rPr>
        <w:t xml:space="preserve"> Moran, M. Rein &amp; R. Goodin, (Eds). </w:t>
      </w:r>
      <w:r w:rsidRPr="00FC7FF9">
        <w:rPr>
          <w:rFonts w:eastAsia="SimSun" w:cs="Arial"/>
          <w:i/>
        </w:rPr>
        <w:t>The Oxford Handbook of Public Policy</w:t>
      </w:r>
      <w:r w:rsidRPr="00FC7FF9">
        <w:rPr>
          <w:rFonts w:eastAsia="SimSun" w:cs="Arial"/>
        </w:rPr>
        <w:t xml:space="preserve"> Pp. 607-623. Oxford University Press.</w:t>
      </w:r>
    </w:p>
    <w:p w14:paraId="5076C397" w14:textId="7F69DBB4" w:rsidR="008C1E64" w:rsidRPr="00410B29" w:rsidRDefault="008C1E64" w:rsidP="008C1257">
      <w:pPr>
        <w:pStyle w:val="Heading2"/>
      </w:pPr>
      <w:bookmarkStart w:id="43" w:name="_Toc12350828"/>
      <w:r w:rsidRPr="00410B29">
        <w:lastRenderedPageBreak/>
        <w:t xml:space="preserve">Week 5: </w:t>
      </w:r>
      <w:r w:rsidR="006B753C">
        <w:t>February 9, 202</w:t>
      </w:r>
      <w:r w:rsidR="004D58B8">
        <w:t>2</w:t>
      </w:r>
      <w:bookmarkEnd w:id="43"/>
    </w:p>
    <w:p w14:paraId="773A47E0" w14:textId="7802632F" w:rsidR="008C1E64" w:rsidRPr="00410B29" w:rsidRDefault="008C1E64" w:rsidP="003C4014">
      <w:pPr>
        <w:pStyle w:val="Heading3"/>
      </w:pPr>
      <w:r w:rsidRPr="00410B29">
        <w:t>Topics:</w:t>
      </w:r>
      <w:r w:rsidR="006B753C">
        <w:t xml:space="preserve"> Social Policy, Covid-</w:t>
      </w:r>
      <w:proofErr w:type="gramStart"/>
      <w:r w:rsidR="006B753C">
        <w:t>19</w:t>
      </w:r>
      <w:proofErr w:type="gramEnd"/>
      <w:r w:rsidR="006B753C">
        <w:t xml:space="preserve"> and </w:t>
      </w:r>
      <w:r w:rsidR="00F43301">
        <w:t>Employment</w:t>
      </w:r>
    </w:p>
    <w:p w14:paraId="37CFB963" w14:textId="77777777" w:rsidR="008C1E64" w:rsidRPr="003C4014" w:rsidRDefault="008C1E64" w:rsidP="003C4014">
      <w:pPr>
        <w:pStyle w:val="Heading3"/>
      </w:pPr>
      <w:r w:rsidRPr="003C4014">
        <w:t>Readings:</w:t>
      </w:r>
    </w:p>
    <w:p w14:paraId="38151059" w14:textId="14FA9DED" w:rsidR="006B753C" w:rsidRDefault="006B753C" w:rsidP="006B753C">
      <w:pPr>
        <w:pStyle w:val="ListParagraph"/>
        <w:numPr>
          <w:ilvl w:val="0"/>
          <w:numId w:val="33"/>
        </w:numPr>
        <w:autoSpaceDE w:val="0"/>
        <w:autoSpaceDN w:val="0"/>
        <w:adjustRightInd w:val="0"/>
        <w:rPr>
          <w:rFonts w:cstheme="minorHAnsi"/>
        </w:rPr>
      </w:pPr>
      <w:r w:rsidRPr="006B753C">
        <w:rPr>
          <w:rFonts w:cstheme="minorHAnsi"/>
        </w:rPr>
        <w:t xml:space="preserve">Canadian Women’s Foundation, the Canadian Centre for Policy Alternatives, Ontario </w:t>
      </w:r>
      <w:proofErr w:type="spellStart"/>
      <w:r w:rsidRPr="006B753C">
        <w:rPr>
          <w:rFonts w:cstheme="minorHAnsi"/>
        </w:rPr>
        <w:t>Nonprofit</w:t>
      </w:r>
      <w:proofErr w:type="spellEnd"/>
      <w:r w:rsidRPr="006B753C">
        <w:rPr>
          <w:rFonts w:cstheme="minorHAnsi"/>
        </w:rPr>
        <w:t xml:space="preserve"> Network, and Fay Faraday (2020). </w:t>
      </w:r>
      <w:r w:rsidRPr="00C8512B">
        <w:rPr>
          <w:rFonts w:cstheme="minorHAnsi"/>
          <w:i/>
          <w:iCs/>
        </w:rPr>
        <w:t>Resetting Normal: Women, Decent Work and Canada’s Fractured Care Economy</w:t>
      </w:r>
      <w:r w:rsidRPr="006B753C">
        <w:rPr>
          <w:rFonts w:cstheme="minorHAnsi"/>
        </w:rPr>
        <w:t xml:space="preserve">. </w:t>
      </w:r>
    </w:p>
    <w:p w14:paraId="6D8958EC" w14:textId="444B61DA" w:rsidR="006B753C" w:rsidRDefault="006B753C" w:rsidP="006B753C">
      <w:pPr>
        <w:pStyle w:val="ListParagraph"/>
        <w:numPr>
          <w:ilvl w:val="0"/>
          <w:numId w:val="33"/>
        </w:numPr>
        <w:autoSpaceDE w:val="0"/>
        <w:autoSpaceDN w:val="0"/>
        <w:adjustRightInd w:val="0"/>
        <w:rPr>
          <w:rFonts w:cstheme="minorHAnsi"/>
        </w:rPr>
      </w:pPr>
      <w:r>
        <w:rPr>
          <w:rFonts w:cstheme="minorHAnsi"/>
        </w:rPr>
        <w:t xml:space="preserve">Stanford, J. (2020). </w:t>
      </w:r>
      <w:r w:rsidRPr="00C8512B">
        <w:rPr>
          <w:rFonts w:cstheme="minorHAnsi"/>
          <w:i/>
          <w:iCs/>
        </w:rPr>
        <w:t xml:space="preserve">Ten Ways the Covid-19 Pandemic Must Change Work for Good. </w:t>
      </w:r>
      <w:r w:rsidR="002E3554">
        <w:rPr>
          <w:rFonts w:cstheme="minorHAnsi"/>
        </w:rPr>
        <w:t>Vancouver: Centre for Future Work.</w:t>
      </w:r>
    </w:p>
    <w:p w14:paraId="1AF5C0C3" w14:textId="77A2056F" w:rsidR="008E1AF8" w:rsidRDefault="008E1AF8" w:rsidP="006B753C">
      <w:pPr>
        <w:pStyle w:val="ListParagraph"/>
        <w:numPr>
          <w:ilvl w:val="0"/>
          <w:numId w:val="33"/>
        </w:numPr>
        <w:autoSpaceDE w:val="0"/>
        <w:autoSpaceDN w:val="0"/>
        <w:adjustRightInd w:val="0"/>
        <w:rPr>
          <w:rFonts w:cstheme="minorHAnsi"/>
          <w:i/>
          <w:iCs/>
        </w:rPr>
      </w:pPr>
      <w:r>
        <w:rPr>
          <w:rFonts w:cstheme="minorHAnsi"/>
        </w:rPr>
        <w:t xml:space="preserve">Migrant Rights Network. (2021). </w:t>
      </w:r>
      <w:r w:rsidRPr="00C8512B">
        <w:rPr>
          <w:rFonts w:cstheme="minorHAnsi"/>
          <w:i/>
          <w:iCs/>
        </w:rPr>
        <w:t xml:space="preserve">Underinsured: Ending the Exclusion of </w:t>
      </w:r>
      <w:proofErr w:type="gramStart"/>
      <w:r w:rsidRPr="00C8512B">
        <w:rPr>
          <w:rFonts w:cstheme="minorHAnsi"/>
          <w:i/>
          <w:iCs/>
        </w:rPr>
        <w:t>Migrant</w:t>
      </w:r>
      <w:r w:rsidR="00F43301" w:rsidRPr="00C8512B">
        <w:rPr>
          <w:rFonts w:cstheme="minorHAnsi"/>
          <w:i/>
          <w:iCs/>
        </w:rPr>
        <w:t>s</w:t>
      </w:r>
      <w:r w:rsidRPr="00C8512B">
        <w:rPr>
          <w:rFonts w:cstheme="minorHAnsi"/>
          <w:i/>
          <w:iCs/>
        </w:rPr>
        <w:t xml:space="preserve">  from</w:t>
      </w:r>
      <w:proofErr w:type="gramEnd"/>
      <w:r w:rsidRPr="00C8512B">
        <w:rPr>
          <w:rFonts w:cstheme="minorHAnsi"/>
          <w:i/>
          <w:iCs/>
        </w:rPr>
        <w:t xml:space="preserve"> EI.</w:t>
      </w:r>
      <w:r w:rsidR="000C3699" w:rsidRPr="000C3699">
        <w:t xml:space="preserve"> </w:t>
      </w:r>
      <w:bookmarkStart w:id="44" w:name="_Hlk89275784"/>
      <w:r w:rsidR="000C3699">
        <w:rPr>
          <w:rFonts w:cstheme="minorHAnsi"/>
          <w:i/>
          <w:iCs/>
        </w:rPr>
        <w:fldChar w:fldCharType="begin"/>
      </w:r>
      <w:r w:rsidR="000C3699">
        <w:rPr>
          <w:rFonts w:cstheme="minorHAnsi"/>
          <w:i/>
          <w:iCs/>
        </w:rPr>
        <w:instrText xml:space="preserve"> HYPERLINK "</w:instrText>
      </w:r>
      <w:r w:rsidR="000C3699" w:rsidRPr="000C3699">
        <w:rPr>
          <w:rFonts w:cstheme="minorHAnsi"/>
          <w:i/>
          <w:iCs/>
        </w:rPr>
        <w:instrText>https://migrantworkersalliance.org/wp-content/uploads/2021/04/MRN-Submissions-to-HUMA-on-EI.pdf</w:instrText>
      </w:r>
      <w:r w:rsidR="000C3699">
        <w:rPr>
          <w:rFonts w:cstheme="minorHAnsi"/>
          <w:i/>
          <w:iCs/>
        </w:rPr>
        <w:instrText xml:space="preserve">" </w:instrText>
      </w:r>
      <w:r w:rsidR="000C3699">
        <w:rPr>
          <w:rFonts w:cstheme="minorHAnsi"/>
          <w:i/>
          <w:iCs/>
        </w:rPr>
        <w:fldChar w:fldCharType="separate"/>
      </w:r>
      <w:r w:rsidR="000C3699" w:rsidRPr="005E6ECB">
        <w:rPr>
          <w:rStyle w:val="Hyperlink"/>
          <w:rFonts w:cstheme="minorHAnsi"/>
          <w:i/>
          <w:iCs/>
        </w:rPr>
        <w:t>https://migrantworkersalliance.org/wp-content/uploads/2021/04/MRN-Submissions-to-HUMA-on-EI.pdf</w:t>
      </w:r>
      <w:r w:rsidR="000C3699">
        <w:rPr>
          <w:rFonts w:cstheme="minorHAnsi"/>
          <w:i/>
          <w:iCs/>
        </w:rPr>
        <w:fldChar w:fldCharType="end"/>
      </w:r>
    </w:p>
    <w:bookmarkEnd w:id="44"/>
    <w:p w14:paraId="77E5B296" w14:textId="77777777" w:rsidR="000C3699" w:rsidRPr="00C8512B" w:rsidRDefault="000C3699" w:rsidP="006B753C">
      <w:pPr>
        <w:pStyle w:val="ListParagraph"/>
        <w:numPr>
          <w:ilvl w:val="0"/>
          <w:numId w:val="33"/>
        </w:numPr>
        <w:autoSpaceDE w:val="0"/>
        <w:autoSpaceDN w:val="0"/>
        <w:adjustRightInd w:val="0"/>
        <w:rPr>
          <w:rFonts w:cstheme="minorHAnsi"/>
          <w:i/>
          <w:iCs/>
        </w:rPr>
      </w:pPr>
    </w:p>
    <w:p w14:paraId="0919F1FB" w14:textId="460612E5" w:rsidR="008C1E64" w:rsidRPr="00410B29" w:rsidRDefault="008C1E64" w:rsidP="008C1257">
      <w:pPr>
        <w:pStyle w:val="Heading2"/>
      </w:pPr>
      <w:bookmarkStart w:id="45" w:name="_Toc12350829"/>
      <w:r w:rsidRPr="00410B29">
        <w:t xml:space="preserve">Week 6: </w:t>
      </w:r>
      <w:r w:rsidR="002E3554">
        <w:t xml:space="preserve">February 16, </w:t>
      </w:r>
      <w:proofErr w:type="gramStart"/>
      <w:r w:rsidR="002E3554">
        <w:t>202</w:t>
      </w:r>
      <w:r w:rsidR="004D58B8">
        <w:t>2</w:t>
      </w:r>
      <w:bookmarkEnd w:id="45"/>
      <w:r w:rsidR="008869DD">
        <w:t xml:space="preserve">  </w:t>
      </w:r>
      <w:r w:rsidR="00C3253D">
        <w:t>Virtual</w:t>
      </w:r>
      <w:proofErr w:type="gramEnd"/>
      <w:r w:rsidR="008869DD">
        <w:t xml:space="preserve"> </w:t>
      </w:r>
    </w:p>
    <w:p w14:paraId="221DFC3B" w14:textId="77777777" w:rsidR="009C7928" w:rsidRDefault="009C7928" w:rsidP="009C7928">
      <w:pPr>
        <w:pStyle w:val="Heading3"/>
      </w:pPr>
      <w:r w:rsidRPr="00410B29">
        <w:t>Topics:</w:t>
      </w:r>
      <w:r>
        <w:t xml:space="preserve">  Housing and Homelessness</w:t>
      </w:r>
    </w:p>
    <w:p w14:paraId="736233FB" w14:textId="77777777" w:rsidR="009C7928" w:rsidRPr="00410B29" w:rsidRDefault="009C7928" w:rsidP="009C7928">
      <w:pPr>
        <w:pStyle w:val="Heading3"/>
      </w:pPr>
      <w:r w:rsidRPr="00410B29">
        <w:t>Readings:</w:t>
      </w:r>
    </w:p>
    <w:p w14:paraId="19710824" w14:textId="77777777" w:rsidR="009C7928" w:rsidRDefault="009C7928" w:rsidP="009C7928">
      <w:pPr>
        <w:pStyle w:val="ListParagraph"/>
        <w:numPr>
          <w:ilvl w:val="0"/>
          <w:numId w:val="33"/>
        </w:numPr>
        <w:autoSpaceDE w:val="0"/>
        <w:autoSpaceDN w:val="0"/>
        <w:adjustRightInd w:val="0"/>
      </w:pPr>
      <w:proofErr w:type="spellStart"/>
      <w:r w:rsidRPr="0014746F">
        <w:t>Hulchanski</w:t>
      </w:r>
      <w:proofErr w:type="spellEnd"/>
      <w:r w:rsidRPr="0014746F">
        <w:t xml:space="preserve">, J. D., Campsie, P., Chau, S. Hwang, S., Paradis, E. What’s in a Word? In: </w:t>
      </w:r>
      <w:proofErr w:type="spellStart"/>
      <w:r w:rsidRPr="0014746F">
        <w:t>Hulchanski</w:t>
      </w:r>
      <w:proofErr w:type="spellEnd"/>
      <w:r w:rsidRPr="0014746F">
        <w:t>, J. David; Campsie, Philippa; Chau, Shirley; Hwang, Stephen; Paradis, Emily</w:t>
      </w:r>
      <w:r>
        <w:t xml:space="preserve"> </w:t>
      </w:r>
      <w:r w:rsidRPr="0014746F">
        <w:t xml:space="preserve">(eds.) </w:t>
      </w:r>
      <w:r w:rsidRPr="00FC7FF9">
        <w:rPr>
          <w:i/>
          <w:iCs/>
        </w:rPr>
        <w:t xml:space="preserve">Finding Home: Policy Options for Addressing Homelessness in Canada </w:t>
      </w:r>
      <w:r w:rsidRPr="0014746F">
        <w:t xml:space="preserve">(e-book), Introduction. Toronto: Cities Centre, University of Toronto. </w:t>
      </w:r>
      <w:hyperlink r:id="rId15" w:history="1">
        <w:r w:rsidRPr="00B64781">
          <w:rPr>
            <w:rStyle w:val="Hyperlink"/>
          </w:rPr>
          <w:t>www.homelesshub.ca/FindingHome</w:t>
        </w:r>
      </w:hyperlink>
    </w:p>
    <w:p w14:paraId="20520C8B" w14:textId="77777777" w:rsidR="009C7928" w:rsidRDefault="009C7928" w:rsidP="009C7928">
      <w:pPr>
        <w:pStyle w:val="ListParagraph"/>
        <w:numPr>
          <w:ilvl w:val="0"/>
          <w:numId w:val="33"/>
        </w:numPr>
        <w:autoSpaceDE w:val="0"/>
        <w:autoSpaceDN w:val="0"/>
        <w:adjustRightInd w:val="0"/>
      </w:pPr>
      <w:r>
        <w:t xml:space="preserve">Johnstone, M., Lee, E., &amp; Conolly, J. (2017). </w:t>
      </w:r>
      <w:r w:rsidRPr="00AC1165">
        <w:rPr>
          <w:rFonts w:cs="Arial"/>
          <w:szCs w:val="24"/>
          <w:lang w:eastAsia="en-CA"/>
        </w:rPr>
        <w:t>Understanding the meta-discourse</w:t>
      </w:r>
      <w:r>
        <w:rPr>
          <w:rFonts w:cs="Arial"/>
          <w:szCs w:val="24"/>
          <w:lang w:eastAsia="en-CA"/>
        </w:rPr>
        <w:t xml:space="preserve"> </w:t>
      </w:r>
      <w:r w:rsidRPr="00AC1165">
        <w:rPr>
          <w:rFonts w:cs="Arial"/>
          <w:szCs w:val="24"/>
          <w:lang w:eastAsia="en-CA"/>
        </w:rPr>
        <w:t>driving homeless policies and programs in Toronto, Canada: The neoliberal management of social service delivery</w:t>
      </w:r>
      <w:r>
        <w:rPr>
          <w:rFonts w:cs="Arial"/>
          <w:szCs w:val="24"/>
          <w:lang w:eastAsia="en-CA"/>
        </w:rPr>
        <w:t xml:space="preserve">. </w:t>
      </w:r>
      <w:r w:rsidRPr="00AC1165">
        <w:rPr>
          <w:i/>
          <w:iCs/>
        </w:rPr>
        <w:t>International Social Work 60</w:t>
      </w:r>
      <w:r>
        <w:t xml:space="preserve">(6), 1443-1456. </w:t>
      </w:r>
    </w:p>
    <w:p w14:paraId="06B80492" w14:textId="77777777" w:rsidR="009C7928" w:rsidRPr="00BD0C0D" w:rsidRDefault="009C7928" w:rsidP="009C7928">
      <w:pPr>
        <w:pStyle w:val="ListParagraph"/>
        <w:numPr>
          <w:ilvl w:val="0"/>
          <w:numId w:val="33"/>
        </w:numPr>
        <w:autoSpaceDE w:val="0"/>
        <w:autoSpaceDN w:val="0"/>
        <w:adjustRightInd w:val="0"/>
        <w:rPr>
          <w:szCs w:val="24"/>
        </w:rPr>
      </w:pPr>
      <w:r w:rsidRPr="00BD0C0D">
        <w:rPr>
          <w:szCs w:val="24"/>
        </w:rPr>
        <w:t xml:space="preserve">Schwan, K., &amp; Ali, N. (2021). </w:t>
      </w:r>
      <w:r w:rsidRPr="00BD0C0D">
        <w:rPr>
          <w:i/>
          <w:iCs/>
          <w:szCs w:val="24"/>
        </w:rPr>
        <w:t>A Rights-Based, GBA+ Analysis of the National Housing Strategy</w:t>
      </w:r>
      <w:r w:rsidRPr="00BD0C0D">
        <w:rPr>
          <w:szCs w:val="24"/>
        </w:rPr>
        <w:t>. Toronto, ON: Women’s National Housing &amp; Homelessness Network.</w:t>
      </w:r>
    </w:p>
    <w:p w14:paraId="7DC111A8" w14:textId="70EDAF75" w:rsidR="007A249D" w:rsidRPr="007A249D" w:rsidRDefault="007A249D" w:rsidP="007A249D">
      <w:pPr>
        <w:rPr>
          <w:b/>
        </w:rPr>
      </w:pPr>
      <w:r>
        <w:rPr>
          <w:b/>
        </w:rPr>
        <w:t>February 23 NO CLASS – Winter Break</w:t>
      </w:r>
    </w:p>
    <w:p w14:paraId="6238FEFC" w14:textId="255A9E5A" w:rsidR="008C1E64" w:rsidRDefault="008C1E64" w:rsidP="008C1257">
      <w:pPr>
        <w:pStyle w:val="Heading2"/>
      </w:pPr>
      <w:bookmarkStart w:id="46" w:name="_Toc12350830"/>
      <w:r w:rsidRPr="00410B29">
        <w:t xml:space="preserve">Week 7: </w:t>
      </w:r>
      <w:r w:rsidR="007A249D">
        <w:t xml:space="preserve">March </w:t>
      </w:r>
      <w:r w:rsidR="00FC7FF9">
        <w:t>2</w:t>
      </w:r>
      <w:r w:rsidR="007A249D">
        <w:t>, 202</w:t>
      </w:r>
      <w:r w:rsidR="004D58B8">
        <w:t>2</w:t>
      </w:r>
      <w:bookmarkEnd w:id="46"/>
    </w:p>
    <w:p w14:paraId="77FDD40D" w14:textId="77777777" w:rsidR="009C7928" w:rsidRPr="00410B29" w:rsidRDefault="009C7928" w:rsidP="009C7928">
      <w:pPr>
        <w:pStyle w:val="Heading3"/>
      </w:pPr>
      <w:r w:rsidRPr="00410B29">
        <w:t>Topics:</w:t>
      </w:r>
      <w:r>
        <w:t xml:space="preserve"> Income security, </w:t>
      </w:r>
      <w:proofErr w:type="gramStart"/>
      <w:r>
        <w:t>inequality</w:t>
      </w:r>
      <w:proofErr w:type="gramEnd"/>
      <w:r>
        <w:t xml:space="preserve"> and poverty</w:t>
      </w:r>
    </w:p>
    <w:p w14:paraId="5FBCFBCB" w14:textId="77777777" w:rsidR="009C7928" w:rsidRPr="00410B29" w:rsidRDefault="009C7928" w:rsidP="009C7928">
      <w:pPr>
        <w:pStyle w:val="Heading3"/>
      </w:pPr>
      <w:r w:rsidRPr="00410B29">
        <w:t>Readings:</w:t>
      </w:r>
    </w:p>
    <w:p w14:paraId="70148B5C" w14:textId="77777777" w:rsidR="009C7928" w:rsidRPr="00AC1165" w:rsidRDefault="009C7928" w:rsidP="009C7928">
      <w:pPr>
        <w:pStyle w:val="ListParagraph"/>
        <w:numPr>
          <w:ilvl w:val="0"/>
          <w:numId w:val="33"/>
        </w:numPr>
        <w:rPr>
          <w:rFonts w:cs="Arial"/>
          <w:i/>
          <w:szCs w:val="24"/>
        </w:rPr>
      </w:pPr>
      <w:bookmarkStart w:id="47" w:name="_Hlk31046158"/>
      <w:proofErr w:type="spellStart"/>
      <w:r w:rsidRPr="00AC1165">
        <w:rPr>
          <w:rFonts w:cs="Arial"/>
          <w:szCs w:val="24"/>
        </w:rPr>
        <w:t>Gazco</w:t>
      </w:r>
      <w:proofErr w:type="spellEnd"/>
      <w:r w:rsidRPr="00AC1165">
        <w:rPr>
          <w:rFonts w:cs="Arial"/>
          <w:szCs w:val="24"/>
        </w:rPr>
        <w:t xml:space="preserve">, A., </w:t>
      </w:r>
      <w:r w:rsidRPr="00CD5D51">
        <w:rPr>
          <w:rFonts w:cs="Arial"/>
          <w:bCs/>
          <w:szCs w:val="24"/>
        </w:rPr>
        <w:t>Baker Collins, S.,</w:t>
      </w:r>
      <w:r w:rsidRPr="00AC1165">
        <w:rPr>
          <w:rFonts w:cs="Arial"/>
          <w:szCs w:val="24"/>
        </w:rPr>
        <w:t xml:space="preserve"> Smith-Carrier, T. &amp; Wilson, C. (2019). The </w:t>
      </w:r>
      <w:proofErr w:type="spellStart"/>
      <w:r w:rsidRPr="00AC1165">
        <w:rPr>
          <w:rFonts w:cs="Arial"/>
          <w:szCs w:val="24"/>
        </w:rPr>
        <w:t>Generationing</w:t>
      </w:r>
      <w:proofErr w:type="spellEnd"/>
      <w:r w:rsidRPr="00AC1165">
        <w:rPr>
          <w:rFonts w:cs="Arial"/>
          <w:szCs w:val="24"/>
        </w:rPr>
        <w:t xml:space="preserve"> of Social Assistance Receipt and "Welfare Dependency" in Ontario, Canada, </w:t>
      </w:r>
      <w:r w:rsidRPr="00AC1165">
        <w:rPr>
          <w:rFonts w:cs="Arial"/>
          <w:i/>
          <w:szCs w:val="24"/>
        </w:rPr>
        <w:t xml:space="preserve">Social Problems. </w:t>
      </w:r>
      <w:r w:rsidRPr="00AC1165">
        <w:rPr>
          <w:rFonts w:cs="Arial"/>
          <w:iCs/>
          <w:szCs w:val="24"/>
        </w:rPr>
        <w:t xml:space="preserve">Online Publication: </w:t>
      </w:r>
      <w:proofErr w:type="spellStart"/>
      <w:r w:rsidRPr="00AC1165">
        <w:rPr>
          <w:rFonts w:cs="Arial"/>
          <w:szCs w:val="24"/>
        </w:rPr>
        <w:t>doi</w:t>
      </w:r>
      <w:proofErr w:type="spellEnd"/>
      <w:r w:rsidRPr="00AC1165">
        <w:rPr>
          <w:rFonts w:cs="Arial"/>
          <w:szCs w:val="24"/>
        </w:rPr>
        <w:t>: 10.1093/</w:t>
      </w:r>
      <w:proofErr w:type="spellStart"/>
      <w:r w:rsidRPr="00AC1165">
        <w:rPr>
          <w:rFonts w:cs="Arial"/>
          <w:szCs w:val="24"/>
        </w:rPr>
        <w:t>socpro</w:t>
      </w:r>
      <w:proofErr w:type="spellEnd"/>
      <w:r w:rsidRPr="00AC1165">
        <w:rPr>
          <w:rFonts w:cs="Arial"/>
          <w:szCs w:val="24"/>
        </w:rPr>
        <w:t>/spz032</w:t>
      </w:r>
    </w:p>
    <w:bookmarkEnd w:id="47"/>
    <w:p w14:paraId="5F3348D9" w14:textId="77777777" w:rsidR="009C7928" w:rsidRPr="00BF6C36" w:rsidRDefault="009C7928" w:rsidP="009C7928">
      <w:pPr>
        <w:pStyle w:val="ListParagraph"/>
        <w:numPr>
          <w:ilvl w:val="0"/>
          <w:numId w:val="33"/>
        </w:numPr>
        <w:rPr>
          <w:b/>
        </w:rPr>
      </w:pPr>
      <w:r>
        <w:lastRenderedPageBreak/>
        <w:t xml:space="preserve">Block, S., </w:t>
      </w:r>
      <w:proofErr w:type="spellStart"/>
      <w:r>
        <w:t>Galabuzi</w:t>
      </w:r>
      <w:proofErr w:type="spellEnd"/>
      <w:r>
        <w:t xml:space="preserve">, G., &amp; </w:t>
      </w:r>
      <w:proofErr w:type="spellStart"/>
      <w:r>
        <w:t>Tranjan</w:t>
      </w:r>
      <w:proofErr w:type="spellEnd"/>
      <w:r>
        <w:t>, R. (2011). Canada’s Colour-Coded Income Inequality. Canadian Centre for Policy Alternatives.</w:t>
      </w:r>
    </w:p>
    <w:p w14:paraId="4D7E938F" w14:textId="77777777" w:rsidR="009C7928" w:rsidRPr="008B08B3" w:rsidRDefault="009C7928" w:rsidP="009C7928">
      <w:pPr>
        <w:pStyle w:val="ListParagraph"/>
        <w:numPr>
          <w:ilvl w:val="0"/>
          <w:numId w:val="33"/>
        </w:numPr>
        <w:rPr>
          <w:b/>
        </w:rPr>
      </w:pPr>
      <w:r>
        <w:t xml:space="preserve">McDonald, D. (2019). </w:t>
      </w:r>
      <w:r w:rsidRPr="00C8512B">
        <w:rPr>
          <w:i/>
          <w:iCs/>
        </w:rPr>
        <w:t xml:space="preserve">Unaccommodating: Rental Housing Wage in Canada. </w:t>
      </w:r>
      <w:r>
        <w:t>Canadian Centre for Policy Alternatives.</w:t>
      </w:r>
    </w:p>
    <w:p w14:paraId="0BEFAFEA" w14:textId="77777777" w:rsidR="009C7928" w:rsidRPr="002E3554" w:rsidRDefault="009C7928" w:rsidP="009C7928">
      <w:pPr>
        <w:pStyle w:val="ListParagraph"/>
        <w:rPr>
          <w:b/>
        </w:rPr>
      </w:pPr>
    </w:p>
    <w:p w14:paraId="2079B412" w14:textId="77777777" w:rsidR="009C7928" w:rsidRPr="009C7928" w:rsidRDefault="009C7928" w:rsidP="009C7928">
      <w:pPr>
        <w:rPr>
          <w:lang w:val="en-GB"/>
        </w:rPr>
      </w:pPr>
    </w:p>
    <w:p w14:paraId="5245E5C9" w14:textId="1507F246" w:rsidR="008C1E64" w:rsidRDefault="008C1E64" w:rsidP="008C1257">
      <w:pPr>
        <w:pStyle w:val="Heading2"/>
      </w:pPr>
      <w:bookmarkStart w:id="48" w:name="_Toc12350831"/>
      <w:r w:rsidRPr="00410B29">
        <w:t xml:space="preserve">Week 8: </w:t>
      </w:r>
      <w:r w:rsidR="007A249D">
        <w:t xml:space="preserve">March </w:t>
      </w:r>
      <w:r w:rsidR="00FC7FF9">
        <w:t>9</w:t>
      </w:r>
      <w:r w:rsidR="007A249D">
        <w:t>, 202</w:t>
      </w:r>
      <w:r w:rsidR="004D58B8">
        <w:t>2</w:t>
      </w:r>
      <w:bookmarkEnd w:id="48"/>
      <w:r w:rsidR="007A249D">
        <w:t xml:space="preserve">  </w:t>
      </w:r>
    </w:p>
    <w:p w14:paraId="042FD907" w14:textId="7D8C78A6" w:rsidR="006F467B" w:rsidRPr="00410B29" w:rsidRDefault="006F467B" w:rsidP="006F467B">
      <w:pPr>
        <w:pStyle w:val="Heading3"/>
      </w:pPr>
      <w:r w:rsidRPr="00410B29">
        <w:t>Topics:</w:t>
      </w:r>
      <w:r w:rsidRPr="00C36D5F">
        <w:t xml:space="preserve"> </w:t>
      </w:r>
      <w:r w:rsidR="00165672">
        <w:t xml:space="preserve">Policy Brief </w:t>
      </w:r>
      <w:r>
        <w:t>Presentation</w:t>
      </w:r>
      <w:r w:rsidR="00165672">
        <w:t>s</w:t>
      </w:r>
      <w:r>
        <w:t xml:space="preserve"> and discussion </w:t>
      </w:r>
    </w:p>
    <w:p w14:paraId="1D66B2A6" w14:textId="77777777" w:rsidR="006F467B" w:rsidRDefault="006F467B" w:rsidP="00AC1165">
      <w:pPr>
        <w:rPr>
          <w:lang w:val="en-GB"/>
        </w:rPr>
      </w:pPr>
    </w:p>
    <w:p w14:paraId="26B3A445" w14:textId="5DA9BC35" w:rsidR="008C1E64" w:rsidRDefault="008C1E64" w:rsidP="008C1257">
      <w:pPr>
        <w:pStyle w:val="Heading2"/>
      </w:pPr>
      <w:bookmarkStart w:id="49" w:name="_Toc12350832"/>
      <w:r w:rsidRPr="00410B29">
        <w:t xml:space="preserve">Week 9: </w:t>
      </w:r>
      <w:r w:rsidR="004D58B8">
        <w:t xml:space="preserve">March </w:t>
      </w:r>
      <w:r w:rsidR="00FC7FF9">
        <w:t>16</w:t>
      </w:r>
      <w:r w:rsidR="004D58B8">
        <w:t xml:space="preserve">, </w:t>
      </w:r>
      <w:proofErr w:type="gramStart"/>
      <w:r w:rsidR="004D58B8">
        <w:t>2022</w:t>
      </w:r>
      <w:bookmarkEnd w:id="49"/>
      <w:r w:rsidR="004A3EEF">
        <w:t xml:space="preserve">  </w:t>
      </w:r>
      <w:r w:rsidR="00C3253D">
        <w:t>Virtual</w:t>
      </w:r>
      <w:proofErr w:type="gramEnd"/>
    </w:p>
    <w:p w14:paraId="01B10707" w14:textId="77777777" w:rsidR="006F467B" w:rsidRDefault="006F467B" w:rsidP="006F467B">
      <w:pPr>
        <w:rPr>
          <w:lang w:val="en-GB"/>
        </w:rPr>
      </w:pPr>
      <w:r>
        <w:rPr>
          <w:lang w:val="en-GB"/>
        </w:rPr>
        <w:t xml:space="preserve">Topic:  Child welfare, </w:t>
      </w:r>
      <w:proofErr w:type="gramStart"/>
      <w:r>
        <w:rPr>
          <w:lang w:val="en-GB"/>
        </w:rPr>
        <w:t>child care</w:t>
      </w:r>
      <w:proofErr w:type="gramEnd"/>
      <w:r>
        <w:rPr>
          <w:lang w:val="en-GB"/>
        </w:rPr>
        <w:t xml:space="preserve"> and Indigenous equity issues</w:t>
      </w:r>
    </w:p>
    <w:p w14:paraId="7F673D4E" w14:textId="77777777" w:rsidR="006F467B" w:rsidRDefault="006F467B" w:rsidP="006F467B">
      <w:pPr>
        <w:rPr>
          <w:lang w:val="en-GB"/>
        </w:rPr>
      </w:pPr>
    </w:p>
    <w:p w14:paraId="36A7C828" w14:textId="77777777" w:rsidR="006F467B" w:rsidRDefault="006F467B" w:rsidP="006F467B">
      <w:pPr>
        <w:rPr>
          <w:lang w:val="en-GB"/>
        </w:rPr>
      </w:pPr>
      <w:r>
        <w:rPr>
          <w:lang w:val="en-GB"/>
        </w:rPr>
        <w:t xml:space="preserve">Readings: </w:t>
      </w:r>
    </w:p>
    <w:p w14:paraId="5DB689CF" w14:textId="77777777" w:rsidR="006F467B" w:rsidRDefault="006F467B" w:rsidP="006F467B">
      <w:pPr>
        <w:pStyle w:val="ListParagraph"/>
        <w:numPr>
          <w:ilvl w:val="0"/>
          <w:numId w:val="36"/>
        </w:numPr>
        <w:autoSpaceDE w:val="0"/>
        <w:autoSpaceDN w:val="0"/>
        <w:adjustRightInd w:val="0"/>
        <w:rPr>
          <w:lang w:val="en-GB"/>
        </w:rPr>
      </w:pPr>
      <w:r w:rsidRPr="004C6748">
        <w:rPr>
          <w:lang w:val="en-GB"/>
        </w:rPr>
        <w:t xml:space="preserve">Blackstock, C. (2016). The Complainant: </w:t>
      </w:r>
      <w:proofErr w:type="gramStart"/>
      <w:r w:rsidRPr="004C6748">
        <w:rPr>
          <w:lang w:val="en-GB"/>
        </w:rPr>
        <w:t>the</w:t>
      </w:r>
      <w:proofErr w:type="gramEnd"/>
      <w:r w:rsidRPr="004C6748">
        <w:rPr>
          <w:lang w:val="en-GB"/>
        </w:rPr>
        <w:t xml:space="preserve"> Canadian Human Rights Commission Case on First Nations Child Welfare.</w:t>
      </w:r>
      <w:r>
        <w:rPr>
          <w:lang w:val="en-GB"/>
        </w:rPr>
        <w:t xml:space="preserve"> </w:t>
      </w:r>
      <w:r w:rsidRPr="00C8512B">
        <w:rPr>
          <w:i/>
          <w:iCs/>
          <w:lang w:val="en-GB"/>
        </w:rPr>
        <w:t>McGill Law Journal 62</w:t>
      </w:r>
      <w:r>
        <w:rPr>
          <w:lang w:val="en-GB"/>
        </w:rPr>
        <w:t>(2), 287-328.</w:t>
      </w:r>
    </w:p>
    <w:p w14:paraId="3ED1BDE4" w14:textId="1853E25B" w:rsidR="006F467B" w:rsidRPr="00EB1A1A" w:rsidRDefault="006F467B" w:rsidP="006F467B">
      <w:pPr>
        <w:pStyle w:val="ListParagraph"/>
        <w:numPr>
          <w:ilvl w:val="0"/>
          <w:numId w:val="36"/>
        </w:numPr>
        <w:autoSpaceDE w:val="0"/>
        <w:autoSpaceDN w:val="0"/>
        <w:adjustRightInd w:val="0"/>
        <w:rPr>
          <w:rFonts w:cs="Arial"/>
          <w:szCs w:val="24"/>
          <w:lang w:val="en-GB"/>
        </w:rPr>
      </w:pPr>
      <w:r w:rsidRPr="00F75D37">
        <w:rPr>
          <w:lang w:val="en-GB"/>
        </w:rPr>
        <w:t>P</w:t>
      </w:r>
      <w:r w:rsidRPr="00F75D37">
        <w:rPr>
          <w:rFonts w:cs="Arial"/>
          <w:szCs w:val="24"/>
          <w:lang w:val="en-GB"/>
        </w:rPr>
        <w:t xml:space="preserve">rentice, S. &amp; White, L. (2019). </w:t>
      </w:r>
      <w:r w:rsidRPr="00F75D37">
        <w:rPr>
          <w:rFonts w:cs="Arial"/>
          <w:szCs w:val="24"/>
          <w:lang w:eastAsia="en-CA"/>
        </w:rPr>
        <w:t xml:space="preserve">Childcare deserts and distributional disadvantages: </w:t>
      </w:r>
      <w:proofErr w:type="spellStart"/>
      <w:r w:rsidRPr="00F75D37">
        <w:rPr>
          <w:rFonts w:cs="Arial"/>
          <w:szCs w:val="24"/>
          <w:lang w:eastAsia="en-CA"/>
        </w:rPr>
        <w:t>thelegacies</w:t>
      </w:r>
      <w:proofErr w:type="spellEnd"/>
      <w:r w:rsidRPr="00F75D37">
        <w:rPr>
          <w:rFonts w:cs="Arial"/>
          <w:szCs w:val="24"/>
          <w:lang w:eastAsia="en-CA"/>
        </w:rPr>
        <w:t xml:space="preserve"> of split childcare policies and programmes in Canada</w:t>
      </w:r>
      <w:r>
        <w:rPr>
          <w:rFonts w:cs="Arial"/>
          <w:szCs w:val="24"/>
          <w:lang w:eastAsia="en-CA"/>
        </w:rPr>
        <w:t xml:space="preserve">. </w:t>
      </w:r>
      <w:r w:rsidRPr="00017527">
        <w:rPr>
          <w:rFonts w:cs="Arial"/>
          <w:i/>
          <w:iCs/>
          <w:szCs w:val="24"/>
          <w:lang w:eastAsia="en-CA"/>
        </w:rPr>
        <w:t>Journal of International and Comparative Social Policy 35</w:t>
      </w:r>
      <w:r>
        <w:rPr>
          <w:rFonts w:cs="Arial"/>
          <w:szCs w:val="24"/>
          <w:lang w:eastAsia="en-CA"/>
        </w:rPr>
        <w:t>(1), 59-74.</w:t>
      </w:r>
    </w:p>
    <w:p w14:paraId="446CB620" w14:textId="6ECAD583" w:rsidR="00EB1A1A" w:rsidRPr="00EB1A1A" w:rsidRDefault="00EB1A1A" w:rsidP="006F467B">
      <w:pPr>
        <w:pStyle w:val="ListParagraph"/>
        <w:numPr>
          <w:ilvl w:val="0"/>
          <w:numId w:val="36"/>
        </w:numPr>
        <w:autoSpaceDE w:val="0"/>
        <w:autoSpaceDN w:val="0"/>
        <w:adjustRightInd w:val="0"/>
        <w:rPr>
          <w:rFonts w:cs="Arial"/>
          <w:i/>
          <w:iCs/>
          <w:szCs w:val="24"/>
          <w:lang w:val="en-GB"/>
        </w:rPr>
      </w:pPr>
      <w:r>
        <w:rPr>
          <w:rFonts w:cs="Arial"/>
          <w:szCs w:val="24"/>
          <w:lang w:val="en-GB"/>
        </w:rPr>
        <w:t xml:space="preserve">Patel, R. Justin Trudeau’s Liberals start the clock on a deal to compensate First Nations children and their families. November 4, 2021. </w:t>
      </w:r>
      <w:r w:rsidRPr="00EB1A1A">
        <w:rPr>
          <w:rFonts w:cs="Arial"/>
          <w:i/>
          <w:iCs/>
          <w:szCs w:val="24"/>
          <w:lang w:val="en-GB"/>
        </w:rPr>
        <w:t>Toronto Star</w:t>
      </w:r>
    </w:p>
    <w:p w14:paraId="651F8C55" w14:textId="69A89EBF" w:rsidR="00EB1A1A" w:rsidRDefault="000E431E" w:rsidP="00EB1A1A">
      <w:pPr>
        <w:pStyle w:val="ListParagraph"/>
        <w:autoSpaceDE w:val="0"/>
        <w:autoSpaceDN w:val="0"/>
        <w:adjustRightInd w:val="0"/>
        <w:rPr>
          <w:rFonts w:cs="Arial"/>
          <w:szCs w:val="24"/>
          <w:lang w:val="en-GB"/>
        </w:rPr>
      </w:pPr>
      <w:hyperlink r:id="rId16" w:history="1">
        <w:r w:rsidR="00EB1A1A" w:rsidRPr="00A01399">
          <w:rPr>
            <w:rStyle w:val="Hyperlink"/>
            <w:rFonts w:cs="Arial"/>
            <w:szCs w:val="24"/>
            <w:lang w:val="en-GB"/>
          </w:rPr>
          <w:t>https://www.thestar.com/politics/federal/2021/11/04/justin-trudeaus-liberals-start-the-clock-on-a-deal-to-compensate-first-nations-children-and-their-families.html?rf</w:t>
        </w:r>
      </w:hyperlink>
    </w:p>
    <w:p w14:paraId="725D3ADF" w14:textId="77777777" w:rsidR="00EB1A1A" w:rsidRPr="00F75D37" w:rsidRDefault="00EB1A1A" w:rsidP="00EB1A1A">
      <w:pPr>
        <w:pStyle w:val="ListParagraph"/>
        <w:autoSpaceDE w:val="0"/>
        <w:autoSpaceDN w:val="0"/>
        <w:adjustRightInd w:val="0"/>
        <w:rPr>
          <w:rFonts w:cs="Arial"/>
          <w:szCs w:val="24"/>
          <w:lang w:val="en-GB"/>
        </w:rPr>
      </w:pPr>
    </w:p>
    <w:p w14:paraId="5BDE2C5A" w14:textId="59732A8A" w:rsidR="008C1E64" w:rsidRPr="00410B29" w:rsidRDefault="008C1E64" w:rsidP="008C1257">
      <w:pPr>
        <w:pStyle w:val="Heading2"/>
      </w:pPr>
      <w:bookmarkStart w:id="50" w:name="_Toc12350833"/>
      <w:r w:rsidRPr="00410B29">
        <w:t xml:space="preserve">Week 10: </w:t>
      </w:r>
      <w:r w:rsidR="004D58B8">
        <w:t xml:space="preserve">March </w:t>
      </w:r>
      <w:r w:rsidR="008B08B3">
        <w:t>23, 202</w:t>
      </w:r>
      <w:r w:rsidR="00165672">
        <w:t>2</w:t>
      </w:r>
      <w:bookmarkEnd w:id="50"/>
    </w:p>
    <w:p w14:paraId="5C58922F" w14:textId="3A53E4A3" w:rsidR="003659BF" w:rsidRDefault="008C1E64" w:rsidP="003659BF">
      <w:pPr>
        <w:rPr>
          <w:b/>
          <w:bCs/>
        </w:rPr>
      </w:pPr>
      <w:r w:rsidRPr="00410B29">
        <w:t>Topics:</w:t>
      </w:r>
      <w:r w:rsidR="003659BF" w:rsidRPr="003659BF">
        <w:rPr>
          <w:b/>
          <w:bCs/>
        </w:rPr>
        <w:t xml:space="preserve"> </w:t>
      </w:r>
      <w:r w:rsidR="003659BF" w:rsidRPr="00614E93">
        <w:rPr>
          <w:b/>
          <w:bCs/>
        </w:rPr>
        <w:t>Intersectionality</w:t>
      </w:r>
      <w:r w:rsidR="003659BF">
        <w:rPr>
          <w:b/>
          <w:bCs/>
        </w:rPr>
        <w:t xml:space="preserve"> through the lens of health</w:t>
      </w:r>
    </w:p>
    <w:p w14:paraId="3DEF62F8" w14:textId="342E09F0" w:rsidR="008C1E64" w:rsidRDefault="008C1E64" w:rsidP="003C4014">
      <w:pPr>
        <w:pStyle w:val="Heading3"/>
      </w:pPr>
      <w:r w:rsidRPr="00410B29">
        <w:t>Readings:</w:t>
      </w:r>
    </w:p>
    <w:p w14:paraId="6540144D" w14:textId="77777777" w:rsidR="00F35AEF" w:rsidRPr="00F35AEF" w:rsidRDefault="00F35AEF" w:rsidP="00F35AEF"/>
    <w:p w14:paraId="23B48A74" w14:textId="1A77FAF0" w:rsidR="008C1E64" w:rsidRPr="00146439" w:rsidRDefault="00F35AEF" w:rsidP="00F35AEF">
      <w:pPr>
        <w:pStyle w:val="ListParagraph"/>
        <w:numPr>
          <w:ilvl w:val="0"/>
          <w:numId w:val="35"/>
        </w:numPr>
        <w:autoSpaceDE w:val="0"/>
        <w:autoSpaceDN w:val="0"/>
        <w:adjustRightInd w:val="0"/>
        <w:rPr>
          <w:rFonts w:cs="Arial"/>
          <w:b/>
          <w:szCs w:val="24"/>
        </w:rPr>
      </w:pPr>
      <w:proofErr w:type="spellStart"/>
      <w:r w:rsidRPr="00F35AEF">
        <w:rPr>
          <w:rFonts w:cs="Arial"/>
          <w:szCs w:val="24"/>
          <w:lang w:eastAsia="en-CA"/>
        </w:rPr>
        <w:t>Hankivsky</w:t>
      </w:r>
      <w:proofErr w:type="spellEnd"/>
      <w:r w:rsidRPr="00F35AEF">
        <w:rPr>
          <w:rFonts w:cs="Arial"/>
          <w:szCs w:val="24"/>
          <w:lang w:eastAsia="en-CA"/>
        </w:rPr>
        <w:t>, O., et al. (201</w:t>
      </w:r>
      <w:r w:rsidR="00146439">
        <w:rPr>
          <w:rFonts w:cs="Arial"/>
          <w:szCs w:val="24"/>
          <w:lang w:eastAsia="en-CA"/>
        </w:rPr>
        <w:t>5</w:t>
      </w:r>
      <w:r w:rsidRPr="00F35AEF">
        <w:rPr>
          <w:rFonts w:cs="Arial"/>
          <w:szCs w:val="24"/>
          <w:lang w:eastAsia="en-CA"/>
        </w:rPr>
        <w:t xml:space="preserve">). An intersectionality-based policy analysis framework: critical reflections on a methodology for advancing equity. </w:t>
      </w:r>
      <w:r w:rsidRPr="00146439">
        <w:rPr>
          <w:rFonts w:cs="Arial"/>
          <w:i/>
          <w:iCs/>
          <w:szCs w:val="24"/>
          <w:lang w:eastAsia="en-CA"/>
        </w:rPr>
        <w:t>International Journal for Equity in Health 13</w:t>
      </w:r>
      <w:r w:rsidRPr="00F35AEF">
        <w:rPr>
          <w:rFonts w:cs="Arial"/>
          <w:szCs w:val="24"/>
          <w:lang w:eastAsia="en-CA"/>
        </w:rPr>
        <w:t>, 1-19.</w:t>
      </w:r>
    </w:p>
    <w:p w14:paraId="07E292D9" w14:textId="38F164DC" w:rsidR="00146439" w:rsidRPr="00146439" w:rsidRDefault="00146439" w:rsidP="00F35AEF">
      <w:pPr>
        <w:pStyle w:val="ListParagraph"/>
        <w:numPr>
          <w:ilvl w:val="0"/>
          <w:numId w:val="35"/>
        </w:numPr>
        <w:autoSpaceDE w:val="0"/>
        <w:autoSpaceDN w:val="0"/>
        <w:adjustRightInd w:val="0"/>
        <w:rPr>
          <w:rFonts w:cs="Arial"/>
          <w:b/>
          <w:szCs w:val="24"/>
        </w:rPr>
      </w:pPr>
      <w:r>
        <w:rPr>
          <w:rFonts w:cs="Arial"/>
          <w:szCs w:val="24"/>
          <w:lang w:eastAsia="en-CA"/>
        </w:rPr>
        <w:t xml:space="preserve">Raphael, D. (2011). A discourse analysis of the social determinants of health. </w:t>
      </w:r>
      <w:r w:rsidRPr="00146439">
        <w:rPr>
          <w:rFonts w:cs="Arial"/>
          <w:i/>
          <w:iCs/>
          <w:szCs w:val="24"/>
          <w:lang w:eastAsia="en-CA"/>
        </w:rPr>
        <w:t>Critical Public Health 21</w:t>
      </w:r>
      <w:r>
        <w:rPr>
          <w:rFonts w:cs="Arial"/>
          <w:szCs w:val="24"/>
          <w:lang w:eastAsia="en-CA"/>
        </w:rPr>
        <w:t>(2), 221-236.</w:t>
      </w:r>
    </w:p>
    <w:p w14:paraId="60304D1F" w14:textId="1FB72756" w:rsidR="008C1E64" w:rsidRPr="00146439" w:rsidRDefault="00146439" w:rsidP="005B341D">
      <w:pPr>
        <w:pStyle w:val="ListParagraph"/>
        <w:numPr>
          <w:ilvl w:val="0"/>
          <w:numId w:val="35"/>
        </w:numPr>
        <w:autoSpaceDE w:val="0"/>
        <w:autoSpaceDN w:val="0"/>
        <w:adjustRightInd w:val="0"/>
        <w:rPr>
          <w:rFonts w:cs="Arial"/>
          <w:b/>
          <w:szCs w:val="24"/>
        </w:rPr>
      </w:pPr>
      <w:r w:rsidRPr="00146439">
        <w:rPr>
          <w:rFonts w:cs="Arial"/>
          <w:szCs w:val="24"/>
          <w:lang w:eastAsia="en-CA"/>
        </w:rPr>
        <w:lastRenderedPageBreak/>
        <w:t>S</w:t>
      </w:r>
      <w:r w:rsidR="00F35AEF" w:rsidRPr="00146439">
        <w:rPr>
          <w:rFonts w:cs="Arial"/>
          <w:szCs w:val="24"/>
        </w:rPr>
        <w:t xml:space="preserve">piegel, J.M., </w:t>
      </w:r>
      <w:proofErr w:type="spellStart"/>
      <w:r w:rsidR="00F35AEF" w:rsidRPr="00146439">
        <w:rPr>
          <w:rFonts w:cs="Arial"/>
          <w:szCs w:val="24"/>
        </w:rPr>
        <w:t>Breilh</w:t>
      </w:r>
      <w:proofErr w:type="spellEnd"/>
      <w:r w:rsidR="00F35AEF" w:rsidRPr="00146439">
        <w:rPr>
          <w:rFonts w:cs="Arial"/>
          <w:szCs w:val="24"/>
        </w:rPr>
        <w:t xml:space="preserve">, </w:t>
      </w:r>
      <w:r w:rsidRPr="00146439">
        <w:rPr>
          <w:rFonts w:cs="Arial"/>
          <w:szCs w:val="24"/>
        </w:rPr>
        <w:t xml:space="preserve">J., &amp; </w:t>
      </w:r>
      <w:r w:rsidR="00F35AEF" w:rsidRPr="00146439">
        <w:rPr>
          <w:rFonts w:cs="Arial"/>
          <w:szCs w:val="24"/>
        </w:rPr>
        <w:t xml:space="preserve">Yassi, A. </w:t>
      </w:r>
      <w:r w:rsidRPr="00146439">
        <w:rPr>
          <w:rFonts w:cs="Arial"/>
          <w:szCs w:val="24"/>
          <w:lang w:eastAsia="en-CA"/>
        </w:rPr>
        <w:t>Why language matters: insights and challenges</w:t>
      </w:r>
      <w:r>
        <w:rPr>
          <w:rFonts w:cs="Arial"/>
          <w:szCs w:val="24"/>
          <w:lang w:eastAsia="en-CA"/>
        </w:rPr>
        <w:t xml:space="preserve"> </w:t>
      </w:r>
      <w:r w:rsidRPr="00146439">
        <w:rPr>
          <w:rFonts w:cs="Arial"/>
          <w:szCs w:val="24"/>
          <w:lang w:eastAsia="en-CA"/>
        </w:rPr>
        <w:t>in applying a social determination of health approach in a North-South collaborative research program</w:t>
      </w:r>
      <w:r>
        <w:rPr>
          <w:rFonts w:cs="Arial"/>
          <w:szCs w:val="24"/>
          <w:lang w:eastAsia="en-CA"/>
        </w:rPr>
        <w:t xml:space="preserve">. </w:t>
      </w:r>
      <w:r w:rsidRPr="00146439">
        <w:rPr>
          <w:rFonts w:cs="Arial"/>
          <w:i/>
          <w:iCs/>
          <w:szCs w:val="24"/>
          <w:lang w:eastAsia="en-CA"/>
        </w:rPr>
        <w:t>Globalization and Health 11</w:t>
      </w:r>
      <w:r>
        <w:rPr>
          <w:rFonts w:cs="Arial"/>
          <w:szCs w:val="24"/>
          <w:lang w:eastAsia="en-CA"/>
        </w:rPr>
        <w:t xml:space="preserve">(9), 1-17. </w:t>
      </w:r>
    </w:p>
    <w:p w14:paraId="380B74F4" w14:textId="0E90F65A" w:rsidR="008C1E64" w:rsidRPr="00410B29" w:rsidRDefault="008C1E64" w:rsidP="008C1257">
      <w:pPr>
        <w:pStyle w:val="Heading2"/>
      </w:pPr>
      <w:bookmarkStart w:id="51" w:name="_Toc12350834"/>
      <w:r w:rsidRPr="00410B29">
        <w:t xml:space="preserve">Week 11: </w:t>
      </w:r>
      <w:r w:rsidR="008B08B3">
        <w:t>March 30, 2022</w:t>
      </w:r>
      <w:bookmarkEnd w:id="51"/>
    </w:p>
    <w:p w14:paraId="2A92948D" w14:textId="5ED08F76" w:rsidR="008C1E64" w:rsidRPr="004C6748" w:rsidRDefault="008C1E64" w:rsidP="003C4014">
      <w:pPr>
        <w:pStyle w:val="Heading3"/>
        <w:rPr>
          <w:b/>
          <w:bCs w:val="0"/>
          <w:u w:val="single"/>
        </w:rPr>
      </w:pPr>
      <w:r w:rsidRPr="003C4014">
        <w:t>Topics:</w:t>
      </w:r>
      <w:r w:rsidR="00EE1B7A">
        <w:t xml:space="preserve">  </w:t>
      </w:r>
      <w:r w:rsidR="00EE1B7A" w:rsidRPr="004C6748">
        <w:rPr>
          <w:b/>
          <w:bCs w:val="0"/>
        </w:rPr>
        <w:t>Where policy meets practice</w:t>
      </w:r>
    </w:p>
    <w:p w14:paraId="68E07C6D" w14:textId="77777777" w:rsidR="008C1E64" w:rsidRPr="00410B29" w:rsidRDefault="008C1E64" w:rsidP="003C4014">
      <w:pPr>
        <w:pStyle w:val="Heading3"/>
      </w:pPr>
      <w:r w:rsidRPr="00410B29">
        <w:t>Readings:</w:t>
      </w:r>
    </w:p>
    <w:p w14:paraId="7D49CC90" w14:textId="77777777" w:rsidR="00EE1B7A" w:rsidRPr="00EE1B7A" w:rsidRDefault="00EE1B7A" w:rsidP="00EE1B7A">
      <w:pPr>
        <w:pStyle w:val="ListParagraph"/>
        <w:numPr>
          <w:ilvl w:val="0"/>
          <w:numId w:val="34"/>
        </w:numPr>
        <w:rPr>
          <w:rFonts w:cs="Arial"/>
          <w:szCs w:val="24"/>
        </w:rPr>
      </w:pPr>
      <w:r w:rsidRPr="00EE1B7A">
        <w:rPr>
          <w:rFonts w:cs="Arial"/>
          <w:szCs w:val="24"/>
          <w:lang w:val="en-GB"/>
        </w:rPr>
        <w:t>Ba</w:t>
      </w:r>
      <w:proofErr w:type="spellStart"/>
      <w:r w:rsidRPr="00EE1B7A">
        <w:rPr>
          <w:rFonts w:cs="Arial"/>
          <w:szCs w:val="24"/>
        </w:rPr>
        <w:t>ker</w:t>
      </w:r>
      <w:proofErr w:type="spellEnd"/>
      <w:r w:rsidRPr="00EE1B7A">
        <w:rPr>
          <w:rFonts w:cs="Arial"/>
          <w:szCs w:val="24"/>
        </w:rPr>
        <w:t xml:space="preserve"> Collins, S. (2016). The space in the rules: Bureaucratic discretion in the administration of Ontario Works</w:t>
      </w:r>
      <w:r w:rsidRPr="00EE1B7A">
        <w:rPr>
          <w:rFonts w:cs="Arial"/>
          <w:i/>
          <w:szCs w:val="24"/>
        </w:rPr>
        <w:t>. Social Policy and Society 15</w:t>
      </w:r>
      <w:r w:rsidRPr="00EE1B7A">
        <w:rPr>
          <w:rFonts w:cs="Arial"/>
          <w:szCs w:val="24"/>
        </w:rPr>
        <w:t>(2), 221-235.</w:t>
      </w:r>
    </w:p>
    <w:p w14:paraId="1361A0F6" w14:textId="31344635" w:rsidR="00EE1B7A" w:rsidRPr="0016718C" w:rsidRDefault="00EE1B7A" w:rsidP="00F26E1C">
      <w:pPr>
        <w:pStyle w:val="ListParagraph"/>
        <w:numPr>
          <w:ilvl w:val="0"/>
          <w:numId w:val="34"/>
        </w:numPr>
        <w:autoSpaceDE w:val="0"/>
        <w:autoSpaceDN w:val="0"/>
        <w:adjustRightInd w:val="0"/>
        <w:rPr>
          <w:rFonts w:cs="Arial"/>
          <w:b/>
          <w:szCs w:val="24"/>
        </w:rPr>
      </w:pPr>
      <w:r w:rsidRPr="00EE1B7A">
        <w:rPr>
          <w:rFonts w:cs="Arial"/>
          <w:szCs w:val="24"/>
        </w:rPr>
        <w:t xml:space="preserve">Cronley, C. </w:t>
      </w:r>
      <w:r w:rsidRPr="00EE1B7A">
        <w:rPr>
          <w:rFonts w:cs="Arial"/>
          <w:szCs w:val="24"/>
          <w:lang w:eastAsia="en-CA"/>
        </w:rPr>
        <w:t xml:space="preserve">(2020): Invisible intersectionality in measuring vulnerability among individuals experiencing homelessness – critically appraising the VI-SPDAT, </w:t>
      </w:r>
      <w:r w:rsidRPr="00C8512B">
        <w:rPr>
          <w:rFonts w:cs="Arial"/>
          <w:i/>
          <w:iCs/>
          <w:szCs w:val="24"/>
          <w:lang w:eastAsia="en-CA"/>
        </w:rPr>
        <w:t>Journal of Social Distress and Homelessness</w:t>
      </w:r>
      <w:r w:rsidRPr="00EE1B7A">
        <w:rPr>
          <w:rFonts w:cs="Arial"/>
          <w:szCs w:val="24"/>
          <w:lang w:eastAsia="en-CA"/>
        </w:rPr>
        <w:t>, DOI: 10.1080/10530789.2020.1852502</w:t>
      </w:r>
    </w:p>
    <w:p w14:paraId="3D762563" w14:textId="78F7BB63" w:rsidR="0016718C" w:rsidRPr="00EE1B7A" w:rsidRDefault="00165672" w:rsidP="00F26E1C">
      <w:pPr>
        <w:pStyle w:val="ListParagraph"/>
        <w:numPr>
          <w:ilvl w:val="0"/>
          <w:numId w:val="34"/>
        </w:numPr>
        <w:autoSpaceDE w:val="0"/>
        <w:autoSpaceDN w:val="0"/>
        <w:adjustRightInd w:val="0"/>
        <w:rPr>
          <w:rFonts w:cs="Arial"/>
          <w:b/>
          <w:szCs w:val="24"/>
        </w:rPr>
      </w:pPr>
      <w:r>
        <w:rPr>
          <w:rFonts w:cs="Arial"/>
          <w:szCs w:val="24"/>
          <w:lang w:eastAsia="en-CA"/>
        </w:rPr>
        <w:t xml:space="preserve">Tomkinson, S. (2020). Three understandings of administrative work: discretion, </w:t>
      </w:r>
      <w:proofErr w:type="gramStart"/>
      <w:r>
        <w:rPr>
          <w:rFonts w:cs="Arial"/>
          <w:szCs w:val="24"/>
          <w:lang w:eastAsia="en-CA"/>
        </w:rPr>
        <w:t>agency</w:t>
      </w:r>
      <w:proofErr w:type="gramEnd"/>
      <w:r>
        <w:rPr>
          <w:rFonts w:cs="Arial"/>
          <w:szCs w:val="24"/>
          <w:lang w:eastAsia="en-CA"/>
        </w:rPr>
        <w:t xml:space="preserve"> and practice. </w:t>
      </w:r>
      <w:r w:rsidRPr="00165672">
        <w:rPr>
          <w:rFonts w:cs="Arial"/>
          <w:i/>
          <w:iCs/>
          <w:szCs w:val="24"/>
          <w:lang w:eastAsia="en-CA"/>
        </w:rPr>
        <w:t>Canadian Public Administration 63</w:t>
      </w:r>
      <w:r>
        <w:rPr>
          <w:rFonts w:cs="Arial"/>
          <w:szCs w:val="24"/>
          <w:lang w:eastAsia="en-CA"/>
        </w:rPr>
        <w:t>(4), 675-680.</w:t>
      </w:r>
    </w:p>
    <w:p w14:paraId="635EAEC4" w14:textId="2A5A1125" w:rsidR="008C1E64" w:rsidRPr="00410B29" w:rsidRDefault="008C1E64" w:rsidP="008C1257">
      <w:pPr>
        <w:pStyle w:val="Heading2"/>
      </w:pPr>
      <w:bookmarkStart w:id="52" w:name="_Toc12350835"/>
      <w:r w:rsidRPr="00410B29">
        <w:t xml:space="preserve">Week 12: </w:t>
      </w:r>
      <w:r w:rsidR="008B08B3">
        <w:t xml:space="preserve">April 6, </w:t>
      </w:r>
      <w:proofErr w:type="gramStart"/>
      <w:r w:rsidR="008B08B3">
        <w:t>2022</w:t>
      </w:r>
      <w:bookmarkEnd w:id="52"/>
      <w:r w:rsidR="004A3EEF">
        <w:t xml:space="preserve">  </w:t>
      </w:r>
      <w:r w:rsidR="00C3253D">
        <w:t>Virtual</w:t>
      </w:r>
      <w:proofErr w:type="gramEnd"/>
    </w:p>
    <w:p w14:paraId="42638944" w14:textId="79B9E138" w:rsidR="008C1E64" w:rsidRPr="00410B29" w:rsidRDefault="008C1E64" w:rsidP="003C4014">
      <w:pPr>
        <w:pStyle w:val="Heading3"/>
      </w:pPr>
      <w:r w:rsidRPr="00410B29">
        <w:t>Topics:</w:t>
      </w:r>
      <w:r w:rsidR="00656CA1">
        <w:t xml:space="preserve">  </w:t>
      </w:r>
      <w:r w:rsidR="00656CA1" w:rsidRPr="00656CA1">
        <w:rPr>
          <w:b/>
          <w:bCs w:val="0"/>
        </w:rPr>
        <w:t>Advocacy and the policy process</w:t>
      </w:r>
      <w:r w:rsidR="00656CA1">
        <w:t xml:space="preserve"> </w:t>
      </w:r>
    </w:p>
    <w:p w14:paraId="5D45A5DB" w14:textId="77777777" w:rsidR="008C1E64" w:rsidRPr="00410B29" w:rsidRDefault="008C1E64" w:rsidP="003C4014">
      <w:pPr>
        <w:pStyle w:val="Heading3"/>
      </w:pPr>
      <w:r w:rsidRPr="00410B29">
        <w:t>Readings:</w:t>
      </w:r>
    </w:p>
    <w:p w14:paraId="06B89419" w14:textId="0753CB9A" w:rsidR="00A869C1" w:rsidRPr="000C3699" w:rsidRDefault="00165672" w:rsidP="003C4014">
      <w:pPr>
        <w:pStyle w:val="ListParagraph"/>
        <w:numPr>
          <w:ilvl w:val="0"/>
          <w:numId w:val="34"/>
        </w:numPr>
        <w:rPr>
          <w:b/>
        </w:rPr>
      </w:pPr>
      <w:r>
        <w:t>CUPA brief on Women’s Complex Homelessness</w:t>
      </w:r>
    </w:p>
    <w:p w14:paraId="002E74E6" w14:textId="4B02D136" w:rsidR="000C3699" w:rsidRPr="000C3699" w:rsidRDefault="000C3699" w:rsidP="00C80999">
      <w:pPr>
        <w:pStyle w:val="ListParagraph"/>
        <w:numPr>
          <w:ilvl w:val="0"/>
          <w:numId w:val="34"/>
        </w:numPr>
        <w:rPr>
          <w:bCs/>
          <w:i/>
          <w:iCs/>
          <w:u w:val="single"/>
        </w:rPr>
      </w:pPr>
      <w:r>
        <w:t>M</w:t>
      </w:r>
      <w:r w:rsidR="009A7880">
        <w:t xml:space="preserve">igrant Students Alliance for Change: </w:t>
      </w:r>
      <w:r w:rsidR="009A7880" w:rsidRPr="000C3699">
        <w:rPr>
          <w:i/>
          <w:iCs/>
        </w:rPr>
        <w:t xml:space="preserve">Data from Post-Graduate Work Permit Holders in </w:t>
      </w:r>
      <w:r>
        <w:rPr>
          <w:i/>
          <w:iCs/>
        </w:rPr>
        <w:t>C</w:t>
      </w:r>
      <w:r w:rsidR="009A7880" w:rsidRPr="000C3699">
        <w:rPr>
          <w:i/>
          <w:iCs/>
        </w:rPr>
        <w:t>anada</w:t>
      </w:r>
      <w:r>
        <w:rPr>
          <w:i/>
          <w:iCs/>
        </w:rPr>
        <w:t xml:space="preserve"> </w:t>
      </w:r>
      <w:hyperlink r:id="rId17" w:history="1">
        <w:r w:rsidRPr="005E6ECB">
          <w:rPr>
            <w:rStyle w:val="Hyperlink"/>
            <w:bCs/>
            <w:i/>
            <w:iCs/>
          </w:rPr>
          <w:t>https://migrantworkersalliance.org/policy/msu2020pgwpfactsheet/</w:t>
        </w:r>
      </w:hyperlink>
    </w:p>
    <w:p w14:paraId="0B785E86" w14:textId="11474DAF" w:rsidR="009A7880" w:rsidRPr="00C8512B" w:rsidRDefault="009A7880" w:rsidP="000C3699">
      <w:pPr>
        <w:pStyle w:val="ListParagraph"/>
        <w:rPr>
          <w:b/>
          <w:i/>
          <w:iCs/>
        </w:rPr>
      </w:pPr>
    </w:p>
    <w:p w14:paraId="652F45D3" w14:textId="2DDF569C" w:rsidR="002B6305" w:rsidRPr="002B6305" w:rsidRDefault="002B6305" w:rsidP="003C4014">
      <w:pPr>
        <w:pStyle w:val="ListParagraph"/>
        <w:numPr>
          <w:ilvl w:val="0"/>
          <w:numId w:val="34"/>
        </w:numPr>
        <w:rPr>
          <w:b/>
        </w:rPr>
      </w:pPr>
      <w:r>
        <w:t>Blog on policy victory</w:t>
      </w:r>
      <w:r w:rsidR="00F43301">
        <w:t>, “We stopped mass deportations”</w:t>
      </w:r>
      <w:r>
        <w:t xml:space="preserve">: </w:t>
      </w:r>
      <w:hyperlink r:id="rId18" w:history="1">
        <w:r w:rsidRPr="00A01399">
          <w:rPr>
            <w:rStyle w:val="Hyperlink"/>
          </w:rPr>
          <w:t>https://migrantworkersalliance.org/we-stopped-mass-deportations/</w:t>
        </w:r>
      </w:hyperlink>
    </w:p>
    <w:p w14:paraId="102CD122" w14:textId="77777777" w:rsidR="002B6305" w:rsidRPr="00A869C1" w:rsidRDefault="002B6305" w:rsidP="009A7880">
      <w:pPr>
        <w:pStyle w:val="ListParagraph"/>
        <w:rPr>
          <w:b/>
        </w:rPr>
      </w:pPr>
    </w:p>
    <w:sectPr w:rsidR="002B6305" w:rsidRPr="00A869C1" w:rsidSect="00166EF9">
      <w:headerReference w:type="default" r:id="rId19"/>
      <w:footerReference w:type="defaul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86CE" w14:textId="77777777" w:rsidR="000E431E" w:rsidRDefault="000E431E" w:rsidP="003562E3">
      <w:r>
        <w:separator/>
      </w:r>
    </w:p>
  </w:endnote>
  <w:endnote w:type="continuationSeparator" w:id="0">
    <w:p w14:paraId="04CF5025" w14:textId="77777777" w:rsidR="000E431E" w:rsidRDefault="000E431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4C10811D" w:rsidR="00B60A1B" w:rsidRPr="00AC15D9" w:rsidRDefault="00165672" w:rsidP="00AC15D9">
    <w:pPr>
      <w:rPr>
        <w:rFonts w:ascii="Calibri" w:hAnsi="Calibri" w:cs="Calibri"/>
        <w:b/>
        <w:bCs/>
      </w:rPr>
    </w:pPr>
    <w:r>
      <w:rPr>
        <w:rStyle w:val="Strong"/>
        <w:rFonts w:ascii="Calibri" w:hAnsi="Calibri" w:cs="Calibri"/>
      </w:rPr>
      <w:t>SW 701,</w:t>
    </w:r>
    <w:r w:rsidR="00DE446D" w:rsidRPr="005F68BC">
      <w:rPr>
        <w:rStyle w:val="Strong"/>
        <w:rFonts w:ascii="Calibri" w:hAnsi="Calibri" w:cs="Calibri"/>
      </w:rPr>
      <w:t xml:space="preserve"> </w:t>
    </w:r>
    <w:r>
      <w:rPr>
        <w:rStyle w:val="Strong"/>
        <w:rFonts w:ascii="Calibri" w:hAnsi="Calibri" w:cs="Calibri"/>
      </w:rPr>
      <w:t>Winter,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CC91" w14:textId="77777777" w:rsidR="000E431E" w:rsidRDefault="000E431E" w:rsidP="003562E3">
      <w:r>
        <w:separator/>
      </w:r>
    </w:p>
  </w:footnote>
  <w:footnote w:type="continuationSeparator" w:id="0">
    <w:p w14:paraId="2C2FB726" w14:textId="77777777" w:rsidR="000E431E" w:rsidRDefault="000E431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B98833E"/>
    <w:lvl w:ilvl="0">
      <w:numFmt w:val="bullet"/>
      <w:lvlText w:val="*"/>
      <w:lvlJc w:val="left"/>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3565F"/>
    <w:multiLevelType w:val="hybridMultilevel"/>
    <w:tmpl w:val="8D9E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BB57A6"/>
    <w:multiLevelType w:val="hybridMultilevel"/>
    <w:tmpl w:val="778E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214FB"/>
    <w:multiLevelType w:val="hybridMultilevel"/>
    <w:tmpl w:val="506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343786"/>
    <w:multiLevelType w:val="hybridMultilevel"/>
    <w:tmpl w:val="C20A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425BA"/>
    <w:multiLevelType w:val="hybridMultilevel"/>
    <w:tmpl w:val="0EF8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2D2833"/>
    <w:multiLevelType w:val="multilevel"/>
    <w:tmpl w:val="F6664858"/>
    <w:lvl w:ilvl="0">
      <w:start w:val="1"/>
      <w:numFmt w:val="decimal"/>
      <w:lvlText w:val="%1."/>
      <w:lvlJc w:val="left"/>
      <w:pPr>
        <w:ind w:left="360" w:hanging="360"/>
      </w:pPr>
      <w:rPr>
        <w:rFonts w:hint="default"/>
        <w:b w:val="0"/>
        <w:bCs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783998"/>
    <w:multiLevelType w:val="multilevel"/>
    <w:tmpl w:val="05F49E68"/>
    <w:lvl w:ilvl="0">
      <w:start w:val="2"/>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3DF40A6"/>
    <w:multiLevelType w:val="multilevel"/>
    <w:tmpl w:val="C6DC5854"/>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250348"/>
    <w:multiLevelType w:val="hybridMultilevel"/>
    <w:tmpl w:val="417A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F9136A"/>
    <w:multiLevelType w:val="hybridMultilevel"/>
    <w:tmpl w:val="153C21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EE01488"/>
    <w:multiLevelType w:val="hybridMultilevel"/>
    <w:tmpl w:val="153C21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5"/>
  </w:num>
  <w:num w:numId="3">
    <w:abstractNumId w:val="0"/>
  </w:num>
  <w:num w:numId="4">
    <w:abstractNumId w:val="21"/>
  </w:num>
  <w:num w:numId="5">
    <w:abstractNumId w:val="17"/>
  </w:num>
  <w:num w:numId="6">
    <w:abstractNumId w:val="37"/>
  </w:num>
  <w:num w:numId="7">
    <w:abstractNumId w:val="39"/>
  </w:num>
  <w:num w:numId="8">
    <w:abstractNumId w:val="11"/>
  </w:num>
  <w:num w:numId="9">
    <w:abstractNumId w:val="25"/>
  </w:num>
  <w:num w:numId="10">
    <w:abstractNumId w:val="15"/>
  </w:num>
  <w:num w:numId="11">
    <w:abstractNumId w:val="33"/>
  </w:num>
  <w:num w:numId="12">
    <w:abstractNumId w:val="6"/>
  </w:num>
  <w:num w:numId="13">
    <w:abstractNumId w:val="38"/>
  </w:num>
  <w:num w:numId="14">
    <w:abstractNumId w:val="13"/>
  </w:num>
  <w:num w:numId="15">
    <w:abstractNumId w:val="16"/>
  </w:num>
  <w:num w:numId="16">
    <w:abstractNumId w:val="40"/>
  </w:num>
  <w:num w:numId="17">
    <w:abstractNumId w:val="16"/>
  </w:num>
  <w:num w:numId="18">
    <w:abstractNumId w:val="4"/>
  </w:num>
  <w:num w:numId="19">
    <w:abstractNumId w:val="2"/>
  </w:num>
  <w:num w:numId="20">
    <w:abstractNumId w:val="41"/>
  </w:num>
  <w:num w:numId="21">
    <w:abstractNumId w:val="26"/>
  </w:num>
  <w:num w:numId="22">
    <w:abstractNumId w:val="3"/>
  </w:num>
  <w:num w:numId="23">
    <w:abstractNumId w:val="18"/>
  </w:num>
  <w:num w:numId="24">
    <w:abstractNumId w:val="9"/>
  </w:num>
  <w:num w:numId="25">
    <w:abstractNumId w:val="43"/>
  </w:num>
  <w:num w:numId="26">
    <w:abstractNumId w:val="14"/>
  </w:num>
  <w:num w:numId="27">
    <w:abstractNumId w:val="28"/>
  </w:num>
  <w:num w:numId="28">
    <w:abstractNumId w:val="34"/>
  </w:num>
  <w:num w:numId="29">
    <w:abstractNumId w:val="5"/>
  </w:num>
  <w:num w:numId="30">
    <w:abstractNumId w:val="8"/>
  </w:num>
  <w:num w:numId="31">
    <w:abstractNumId w:val="24"/>
  </w:num>
  <w:num w:numId="32">
    <w:abstractNumId w:val="31"/>
  </w:num>
  <w:num w:numId="33">
    <w:abstractNumId w:val="27"/>
  </w:num>
  <w:num w:numId="34">
    <w:abstractNumId w:val="22"/>
  </w:num>
  <w:num w:numId="35">
    <w:abstractNumId w:val="10"/>
  </w:num>
  <w:num w:numId="36">
    <w:abstractNumId w:val="12"/>
  </w:num>
  <w:num w:numId="37">
    <w:abstractNumId w:val="30"/>
  </w:num>
  <w:num w:numId="38">
    <w:abstractNumId w:val="1"/>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9">
    <w:abstractNumId w:val="36"/>
  </w:num>
  <w:num w:numId="40">
    <w:abstractNumId w:val="32"/>
  </w:num>
  <w:num w:numId="41">
    <w:abstractNumId w:val="20"/>
  </w:num>
  <w:num w:numId="42">
    <w:abstractNumId w:val="7"/>
  </w:num>
  <w:num w:numId="43">
    <w:abstractNumId w:val="29"/>
  </w:num>
  <w:num w:numId="44">
    <w:abstractNumId w:val="23"/>
  </w:num>
  <w:num w:numId="4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3B6C"/>
    <w:rsid w:val="00017527"/>
    <w:rsid w:val="00033738"/>
    <w:rsid w:val="0004018B"/>
    <w:rsid w:val="00046D88"/>
    <w:rsid w:val="000546F7"/>
    <w:rsid w:val="000569EF"/>
    <w:rsid w:val="00057F8B"/>
    <w:rsid w:val="000602A3"/>
    <w:rsid w:val="00064D97"/>
    <w:rsid w:val="00067823"/>
    <w:rsid w:val="00074F1E"/>
    <w:rsid w:val="00080608"/>
    <w:rsid w:val="00082FE4"/>
    <w:rsid w:val="00084E3E"/>
    <w:rsid w:val="00090985"/>
    <w:rsid w:val="000928B4"/>
    <w:rsid w:val="00092F08"/>
    <w:rsid w:val="00094A68"/>
    <w:rsid w:val="000A15C1"/>
    <w:rsid w:val="000A65DA"/>
    <w:rsid w:val="000A6633"/>
    <w:rsid w:val="000B0755"/>
    <w:rsid w:val="000C363B"/>
    <w:rsid w:val="000C3699"/>
    <w:rsid w:val="000D1C94"/>
    <w:rsid w:val="000D7A37"/>
    <w:rsid w:val="000E18D1"/>
    <w:rsid w:val="000E3F4C"/>
    <w:rsid w:val="000E431E"/>
    <w:rsid w:val="000F5931"/>
    <w:rsid w:val="00120E73"/>
    <w:rsid w:val="00121290"/>
    <w:rsid w:val="00130D3B"/>
    <w:rsid w:val="0013233D"/>
    <w:rsid w:val="00132923"/>
    <w:rsid w:val="00140127"/>
    <w:rsid w:val="00140878"/>
    <w:rsid w:val="00146439"/>
    <w:rsid w:val="00152229"/>
    <w:rsid w:val="00153D32"/>
    <w:rsid w:val="00163DDE"/>
    <w:rsid w:val="00165672"/>
    <w:rsid w:val="00166D7B"/>
    <w:rsid w:val="00166EF9"/>
    <w:rsid w:val="0016718C"/>
    <w:rsid w:val="00186663"/>
    <w:rsid w:val="001A2BC4"/>
    <w:rsid w:val="001A732A"/>
    <w:rsid w:val="001A790A"/>
    <w:rsid w:val="001A7A9F"/>
    <w:rsid w:val="001B3F63"/>
    <w:rsid w:val="001B68B4"/>
    <w:rsid w:val="001C0D20"/>
    <w:rsid w:val="001C4731"/>
    <w:rsid w:val="001C7D0B"/>
    <w:rsid w:val="001D4899"/>
    <w:rsid w:val="001F3D7B"/>
    <w:rsid w:val="00205826"/>
    <w:rsid w:val="00210F2C"/>
    <w:rsid w:val="00212CF1"/>
    <w:rsid w:val="00214EB3"/>
    <w:rsid w:val="00215B16"/>
    <w:rsid w:val="00230FFB"/>
    <w:rsid w:val="00256BB6"/>
    <w:rsid w:val="002631ED"/>
    <w:rsid w:val="00265711"/>
    <w:rsid w:val="00270DA2"/>
    <w:rsid w:val="002715F6"/>
    <w:rsid w:val="00272ADF"/>
    <w:rsid w:val="00275ABB"/>
    <w:rsid w:val="0028046C"/>
    <w:rsid w:val="00292EED"/>
    <w:rsid w:val="002958FE"/>
    <w:rsid w:val="0029777A"/>
    <w:rsid w:val="002A457D"/>
    <w:rsid w:val="002A7CE6"/>
    <w:rsid w:val="002B6305"/>
    <w:rsid w:val="002C0C5B"/>
    <w:rsid w:val="002C5B58"/>
    <w:rsid w:val="002C66E6"/>
    <w:rsid w:val="002C6ABB"/>
    <w:rsid w:val="002D4EFB"/>
    <w:rsid w:val="002D7903"/>
    <w:rsid w:val="002E04C8"/>
    <w:rsid w:val="002E3554"/>
    <w:rsid w:val="002F2408"/>
    <w:rsid w:val="002F47DB"/>
    <w:rsid w:val="00300B35"/>
    <w:rsid w:val="003039BD"/>
    <w:rsid w:val="00304315"/>
    <w:rsid w:val="00304334"/>
    <w:rsid w:val="00317B01"/>
    <w:rsid w:val="00323EED"/>
    <w:rsid w:val="00326429"/>
    <w:rsid w:val="0033561F"/>
    <w:rsid w:val="00345050"/>
    <w:rsid w:val="0034603B"/>
    <w:rsid w:val="00353377"/>
    <w:rsid w:val="003540A6"/>
    <w:rsid w:val="003562E3"/>
    <w:rsid w:val="003612E5"/>
    <w:rsid w:val="00363EF4"/>
    <w:rsid w:val="003659BF"/>
    <w:rsid w:val="00366F05"/>
    <w:rsid w:val="00374686"/>
    <w:rsid w:val="00374A50"/>
    <w:rsid w:val="003759B7"/>
    <w:rsid w:val="00383FF1"/>
    <w:rsid w:val="003871E6"/>
    <w:rsid w:val="003935FD"/>
    <w:rsid w:val="003A194D"/>
    <w:rsid w:val="003A276D"/>
    <w:rsid w:val="003A4E10"/>
    <w:rsid w:val="003A5F3D"/>
    <w:rsid w:val="003B38A3"/>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0196"/>
    <w:rsid w:val="004817A5"/>
    <w:rsid w:val="004841FB"/>
    <w:rsid w:val="00487270"/>
    <w:rsid w:val="00497A17"/>
    <w:rsid w:val="00497BB5"/>
    <w:rsid w:val="004A3EEF"/>
    <w:rsid w:val="004B4581"/>
    <w:rsid w:val="004B7060"/>
    <w:rsid w:val="004C30F4"/>
    <w:rsid w:val="004C6748"/>
    <w:rsid w:val="004D58B8"/>
    <w:rsid w:val="004D704D"/>
    <w:rsid w:val="004D7076"/>
    <w:rsid w:val="004E21C7"/>
    <w:rsid w:val="004F11C1"/>
    <w:rsid w:val="00502B04"/>
    <w:rsid w:val="005032D5"/>
    <w:rsid w:val="00511E83"/>
    <w:rsid w:val="00511EBF"/>
    <w:rsid w:val="0052577D"/>
    <w:rsid w:val="00540BE9"/>
    <w:rsid w:val="0054103E"/>
    <w:rsid w:val="005438F5"/>
    <w:rsid w:val="00544457"/>
    <w:rsid w:val="00552DC8"/>
    <w:rsid w:val="00553D5C"/>
    <w:rsid w:val="005542B0"/>
    <w:rsid w:val="00561F0E"/>
    <w:rsid w:val="00587BEA"/>
    <w:rsid w:val="005A2D0D"/>
    <w:rsid w:val="005B096C"/>
    <w:rsid w:val="005C0205"/>
    <w:rsid w:val="005E0320"/>
    <w:rsid w:val="005E3782"/>
    <w:rsid w:val="005F36E4"/>
    <w:rsid w:val="005F68BC"/>
    <w:rsid w:val="00633F6D"/>
    <w:rsid w:val="00636295"/>
    <w:rsid w:val="00645172"/>
    <w:rsid w:val="00654317"/>
    <w:rsid w:val="0065600A"/>
    <w:rsid w:val="00656CA1"/>
    <w:rsid w:val="00665583"/>
    <w:rsid w:val="006735C2"/>
    <w:rsid w:val="00682473"/>
    <w:rsid w:val="00682A07"/>
    <w:rsid w:val="00685B21"/>
    <w:rsid w:val="00691933"/>
    <w:rsid w:val="006964B4"/>
    <w:rsid w:val="00697497"/>
    <w:rsid w:val="006B753C"/>
    <w:rsid w:val="006C03C8"/>
    <w:rsid w:val="006C13C2"/>
    <w:rsid w:val="006C215F"/>
    <w:rsid w:val="006C2996"/>
    <w:rsid w:val="006C3770"/>
    <w:rsid w:val="006D00FA"/>
    <w:rsid w:val="006D43D2"/>
    <w:rsid w:val="006E39F2"/>
    <w:rsid w:val="006E3D45"/>
    <w:rsid w:val="006E5DC7"/>
    <w:rsid w:val="006F467B"/>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125"/>
    <w:rsid w:val="00785861"/>
    <w:rsid w:val="00795072"/>
    <w:rsid w:val="007A249D"/>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80F"/>
    <w:rsid w:val="00864E23"/>
    <w:rsid w:val="00867130"/>
    <w:rsid w:val="00870251"/>
    <w:rsid w:val="008869DD"/>
    <w:rsid w:val="00890233"/>
    <w:rsid w:val="00894D18"/>
    <w:rsid w:val="008A32E6"/>
    <w:rsid w:val="008A3DC7"/>
    <w:rsid w:val="008B08B3"/>
    <w:rsid w:val="008C0658"/>
    <w:rsid w:val="008C1257"/>
    <w:rsid w:val="008C175D"/>
    <w:rsid w:val="008C1902"/>
    <w:rsid w:val="008C1E64"/>
    <w:rsid w:val="008C73CD"/>
    <w:rsid w:val="008D0F99"/>
    <w:rsid w:val="008E1AF8"/>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1EA0"/>
    <w:rsid w:val="00977C0A"/>
    <w:rsid w:val="009A7880"/>
    <w:rsid w:val="009B6AAE"/>
    <w:rsid w:val="009C14E0"/>
    <w:rsid w:val="009C48C6"/>
    <w:rsid w:val="009C4CAA"/>
    <w:rsid w:val="009C7928"/>
    <w:rsid w:val="009E304A"/>
    <w:rsid w:val="009E71BA"/>
    <w:rsid w:val="00A04B0A"/>
    <w:rsid w:val="00A0614E"/>
    <w:rsid w:val="00A17AD9"/>
    <w:rsid w:val="00A2380B"/>
    <w:rsid w:val="00A25067"/>
    <w:rsid w:val="00A47A9F"/>
    <w:rsid w:val="00A644FF"/>
    <w:rsid w:val="00A70640"/>
    <w:rsid w:val="00A70747"/>
    <w:rsid w:val="00A72679"/>
    <w:rsid w:val="00A73DA4"/>
    <w:rsid w:val="00A768D6"/>
    <w:rsid w:val="00A777C8"/>
    <w:rsid w:val="00A81F2C"/>
    <w:rsid w:val="00A869C1"/>
    <w:rsid w:val="00A94A1C"/>
    <w:rsid w:val="00AA0AC8"/>
    <w:rsid w:val="00AA2170"/>
    <w:rsid w:val="00AA586A"/>
    <w:rsid w:val="00AB262D"/>
    <w:rsid w:val="00AB5AB5"/>
    <w:rsid w:val="00AB6ED5"/>
    <w:rsid w:val="00AC116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0389"/>
    <w:rsid w:val="00B933B3"/>
    <w:rsid w:val="00BA3699"/>
    <w:rsid w:val="00BB2444"/>
    <w:rsid w:val="00BB4179"/>
    <w:rsid w:val="00BD0C0D"/>
    <w:rsid w:val="00BD19EB"/>
    <w:rsid w:val="00BE7381"/>
    <w:rsid w:val="00BF2C65"/>
    <w:rsid w:val="00BF6C36"/>
    <w:rsid w:val="00C0326E"/>
    <w:rsid w:val="00C114E6"/>
    <w:rsid w:val="00C1749D"/>
    <w:rsid w:val="00C304B1"/>
    <w:rsid w:val="00C3079F"/>
    <w:rsid w:val="00C3253D"/>
    <w:rsid w:val="00C33486"/>
    <w:rsid w:val="00C3613B"/>
    <w:rsid w:val="00C36D5F"/>
    <w:rsid w:val="00C572BC"/>
    <w:rsid w:val="00C6347B"/>
    <w:rsid w:val="00C63704"/>
    <w:rsid w:val="00C70F66"/>
    <w:rsid w:val="00C714B6"/>
    <w:rsid w:val="00C75EFF"/>
    <w:rsid w:val="00C76976"/>
    <w:rsid w:val="00C83D3E"/>
    <w:rsid w:val="00C8483B"/>
    <w:rsid w:val="00C8512B"/>
    <w:rsid w:val="00C85807"/>
    <w:rsid w:val="00C8735A"/>
    <w:rsid w:val="00C9659D"/>
    <w:rsid w:val="00C97F20"/>
    <w:rsid w:val="00CA01B4"/>
    <w:rsid w:val="00CA60B9"/>
    <w:rsid w:val="00CB2678"/>
    <w:rsid w:val="00CB31FC"/>
    <w:rsid w:val="00CB4111"/>
    <w:rsid w:val="00CC2CFA"/>
    <w:rsid w:val="00CD2978"/>
    <w:rsid w:val="00CD5D51"/>
    <w:rsid w:val="00CF13BB"/>
    <w:rsid w:val="00CF1CE7"/>
    <w:rsid w:val="00CF2530"/>
    <w:rsid w:val="00CF2E66"/>
    <w:rsid w:val="00CF35BF"/>
    <w:rsid w:val="00CF384C"/>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E00354"/>
    <w:rsid w:val="00E041FD"/>
    <w:rsid w:val="00E04449"/>
    <w:rsid w:val="00E30271"/>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B1A1A"/>
    <w:rsid w:val="00EC0618"/>
    <w:rsid w:val="00EE08B7"/>
    <w:rsid w:val="00EE1B7A"/>
    <w:rsid w:val="00EE410D"/>
    <w:rsid w:val="00F04D0E"/>
    <w:rsid w:val="00F11804"/>
    <w:rsid w:val="00F150B1"/>
    <w:rsid w:val="00F16756"/>
    <w:rsid w:val="00F2220D"/>
    <w:rsid w:val="00F34CDA"/>
    <w:rsid w:val="00F35AEF"/>
    <w:rsid w:val="00F4138C"/>
    <w:rsid w:val="00F43301"/>
    <w:rsid w:val="00F439A1"/>
    <w:rsid w:val="00F54C43"/>
    <w:rsid w:val="00F6771E"/>
    <w:rsid w:val="00F728EE"/>
    <w:rsid w:val="00F7359A"/>
    <w:rsid w:val="00F74932"/>
    <w:rsid w:val="00F75660"/>
    <w:rsid w:val="00F75D37"/>
    <w:rsid w:val="00FA37D5"/>
    <w:rsid w:val="00FB6A32"/>
    <w:rsid w:val="00FC5C23"/>
    <w:rsid w:val="00FC686E"/>
    <w:rsid w:val="00FC7FF9"/>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BD0C0D"/>
    <w:rPr>
      <w:color w:val="605E5C"/>
      <w:shd w:val="clear" w:color="auto" w:fill="E1DFDD"/>
    </w:rPr>
  </w:style>
  <w:style w:type="character" w:customStyle="1" w:styleId="ListParagraphChar">
    <w:name w:val="List Paragraph Char"/>
    <w:basedOn w:val="DefaultParagraphFont"/>
    <w:link w:val="ListParagraph"/>
    <w:uiPriority w:val="34"/>
    <w:rsid w:val="00EE1B7A"/>
    <w:rPr>
      <w:rFonts w:ascii="Arial" w:hAnsi="Arial"/>
      <w:sz w:val="24"/>
      <w:szCs w:val="22"/>
      <w:lang w:eastAsia="en-US"/>
    </w:rPr>
  </w:style>
  <w:style w:type="paragraph" w:customStyle="1" w:styleId="Level1">
    <w:name w:val="Level 1"/>
    <w:rsid w:val="00092F08"/>
    <w:pPr>
      <w:autoSpaceDE w:val="0"/>
      <w:autoSpaceDN w:val="0"/>
      <w:adjustRightInd w:val="0"/>
      <w:ind w:left="720"/>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44692752">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3/i2195e/i2195e03.pdf" TargetMode="External"/><Relationship Id="rId18" Type="http://schemas.openxmlformats.org/officeDocument/2006/relationships/hyperlink" Target="https://migrantworkersalliance.org/we-stopped-mass-deporta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migrantworkersalliance.org/policy/msu2020pgwpfactsheet/" TargetMode="External"/><Relationship Id="rId2" Type="http://schemas.openxmlformats.org/officeDocument/2006/relationships/numbering" Target="numbering.xml"/><Relationship Id="rId16" Type="http://schemas.openxmlformats.org/officeDocument/2006/relationships/hyperlink" Target="https://www.thestar.com/politics/federal/2021/11/04/justin-trudeaus-liberals-start-the-clock-on-a-deal-to-compensate-first-nations-children-and-their-families.html?r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http://www.homelesshub.ca/FindingHome" TargetMode="External"/><Relationship Id="rId10" Type="http://schemas.openxmlformats.org/officeDocument/2006/relationships/hyperlink" Target="http://www.apastyl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mcmaster.ca" TargetMode="External"/><Relationship Id="rId14" Type="http://schemas.openxmlformats.org/officeDocument/2006/relationships/hyperlink" Target="https://www.idrc.ca/en/how-write-policy-brie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11</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22280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2</cp:revision>
  <cp:lastPrinted>2017-04-06T15:15:00Z</cp:lastPrinted>
  <dcterms:created xsi:type="dcterms:W3CDTF">2022-01-07T17:26:00Z</dcterms:created>
  <dcterms:modified xsi:type="dcterms:W3CDTF">2022-01-07T17:26:00Z</dcterms:modified>
  <cp:category/>
</cp:coreProperties>
</file>